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D1" w:rsidRPr="00E206FF" w:rsidRDefault="00C206D1" w:rsidP="00C206D1">
      <w:pPr>
        <w:keepNext/>
        <w:spacing w:line="240" w:lineRule="auto"/>
        <w:outlineLvl w:val="0"/>
        <w:rPr>
          <w:b/>
          <w:bCs/>
          <w:sz w:val="22"/>
        </w:rPr>
      </w:pPr>
      <w:proofErr w:type="gramStart"/>
      <w:r w:rsidRPr="00E206FF">
        <w:rPr>
          <w:b/>
          <w:bCs/>
          <w:sz w:val="22"/>
        </w:rPr>
        <w:t>Appendix S</w:t>
      </w:r>
      <w:r w:rsidR="00A62328" w:rsidRPr="00E206FF">
        <w:rPr>
          <w:b/>
          <w:bCs/>
          <w:sz w:val="22"/>
        </w:rPr>
        <w:t>4</w:t>
      </w:r>
      <w:r w:rsidRPr="00E206FF">
        <w:rPr>
          <w:b/>
          <w:bCs/>
          <w:sz w:val="22"/>
        </w:rPr>
        <w:t>.</w:t>
      </w:r>
      <w:proofErr w:type="gramEnd"/>
      <w:r w:rsidRPr="00E206FF">
        <w:rPr>
          <w:b/>
          <w:bCs/>
          <w:sz w:val="22"/>
        </w:rPr>
        <w:t xml:space="preserve"> Percent of trial carcasses found in experimental searcher efficiency (SEEF) bias trials and average removal time </w:t>
      </w:r>
      <w:r w:rsidR="00EB6770" w:rsidRPr="00E206FF">
        <w:rPr>
          <w:b/>
          <w:bCs/>
          <w:sz w:val="22"/>
        </w:rPr>
        <w:t xml:space="preserve">(days) </w:t>
      </w:r>
      <w:r w:rsidRPr="00E206FF">
        <w:rPr>
          <w:b/>
          <w:bCs/>
          <w:sz w:val="22"/>
        </w:rPr>
        <w:t>in carcass removal (CRT) bias trials for small birds and all birds for post-construction fatality monitoring studies conducted at wind energy facilities in the United States and Canada, categorized by avifaunal biome.</w:t>
      </w:r>
      <w:r w:rsidRPr="00E206FF">
        <w:rPr>
          <w:bCs/>
          <w:sz w:val="22"/>
        </w:rPr>
        <w:t xml:space="preserve"> Blank spaces indicate that data was not available.</w:t>
      </w:r>
    </w:p>
    <w:p w:rsidR="00C206D1" w:rsidRPr="00E206FF" w:rsidRDefault="00C206D1" w:rsidP="00C206D1">
      <w:pPr>
        <w:spacing w:line="240" w:lineRule="auto"/>
        <w:rPr>
          <w:sz w:val="22"/>
        </w:rPr>
      </w:pPr>
    </w:p>
    <w:tbl>
      <w:tblPr>
        <w:tblW w:w="9251" w:type="dxa"/>
        <w:tblLayout w:type="fixed"/>
        <w:tblCellMar>
          <w:left w:w="30" w:type="dxa"/>
          <w:right w:w="30" w:type="dxa"/>
        </w:tblCellMar>
        <w:tblLook w:val="04A0"/>
      </w:tblPr>
      <w:tblGrid>
        <w:gridCol w:w="4140"/>
        <w:gridCol w:w="1710"/>
        <w:gridCol w:w="2302"/>
        <w:gridCol w:w="1099"/>
      </w:tblGrid>
      <w:tr w:rsidR="00C206D1" w:rsidRPr="00312733" w:rsidTr="000A2834">
        <w:trPr>
          <w:cantSplit/>
          <w:trHeight w:val="20"/>
          <w:tblHeader/>
        </w:trPr>
        <w:tc>
          <w:tcPr>
            <w:tcW w:w="4140" w:type="dxa"/>
            <w:tcBorders>
              <w:top w:val="single" w:sz="4" w:space="0" w:color="auto"/>
              <w:left w:val="nil"/>
              <w:bottom w:val="single" w:sz="4" w:space="0" w:color="auto"/>
              <w:right w:val="nil"/>
            </w:tcBorders>
            <w:shd w:val="clear" w:color="auto" w:fill="auto"/>
            <w:vAlign w:val="bottom"/>
            <w:hideMark/>
          </w:tcPr>
          <w:p w:rsidR="00C206D1" w:rsidRPr="00312733" w:rsidRDefault="00C206D1" w:rsidP="00E206FF">
            <w:pPr>
              <w:spacing w:line="240" w:lineRule="auto"/>
              <w:jc w:val="center"/>
              <w:rPr>
                <w:b/>
                <w:color w:val="000000"/>
              </w:rPr>
            </w:pPr>
            <w:r w:rsidRPr="00312733">
              <w:rPr>
                <w:b/>
                <w:color w:val="000000"/>
                <w:sz w:val="22"/>
                <w:szCs w:val="22"/>
              </w:rPr>
              <w:t>Project name</w:t>
            </w:r>
          </w:p>
        </w:tc>
        <w:tc>
          <w:tcPr>
            <w:tcW w:w="1710" w:type="dxa"/>
            <w:tcBorders>
              <w:top w:val="single" w:sz="4" w:space="0" w:color="auto"/>
              <w:left w:val="nil"/>
              <w:bottom w:val="single" w:sz="4" w:space="0" w:color="auto"/>
              <w:right w:val="nil"/>
            </w:tcBorders>
            <w:shd w:val="clear" w:color="auto" w:fill="auto"/>
            <w:vAlign w:val="center"/>
            <w:hideMark/>
          </w:tcPr>
          <w:p w:rsidR="00C206D1" w:rsidRPr="00312733" w:rsidRDefault="00C206D1" w:rsidP="000A2834">
            <w:pPr>
              <w:spacing w:line="240" w:lineRule="auto"/>
              <w:jc w:val="center"/>
              <w:rPr>
                <w:b/>
                <w:color w:val="000000"/>
              </w:rPr>
            </w:pPr>
            <w:r w:rsidRPr="00312733">
              <w:rPr>
                <w:b/>
                <w:color w:val="000000"/>
                <w:sz w:val="22"/>
                <w:szCs w:val="22"/>
              </w:rPr>
              <w:t>Small bird SEEF estimate (%)</w:t>
            </w:r>
          </w:p>
        </w:tc>
        <w:tc>
          <w:tcPr>
            <w:tcW w:w="2302" w:type="dxa"/>
            <w:tcBorders>
              <w:top w:val="single" w:sz="4" w:space="0" w:color="auto"/>
              <w:left w:val="nil"/>
              <w:bottom w:val="single" w:sz="4" w:space="0" w:color="auto"/>
              <w:right w:val="nil"/>
            </w:tcBorders>
            <w:shd w:val="clear" w:color="auto" w:fill="auto"/>
            <w:vAlign w:val="center"/>
            <w:hideMark/>
          </w:tcPr>
          <w:p w:rsidR="00C206D1" w:rsidRPr="00312733" w:rsidRDefault="00C206D1" w:rsidP="000A2834">
            <w:pPr>
              <w:spacing w:line="240" w:lineRule="auto"/>
              <w:jc w:val="center"/>
              <w:rPr>
                <w:b/>
                <w:color w:val="000000"/>
              </w:rPr>
            </w:pPr>
            <w:r w:rsidRPr="00312733">
              <w:rPr>
                <w:b/>
                <w:color w:val="000000"/>
                <w:sz w:val="22"/>
                <w:szCs w:val="22"/>
              </w:rPr>
              <w:t>Small bird mean CRT removal time (days)</w:t>
            </w:r>
          </w:p>
        </w:tc>
        <w:tc>
          <w:tcPr>
            <w:tcW w:w="1099" w:type="dxa"/>
            <w:tcBorders>
              <w:top w:val="single" w:sz="4" w:space="0" w:color="auto"/>
              <w:left w:val="nil"/>
              <w:bottom w:val="single" w:sz="4" w:space="0" w:color="auto"/>
              <w:right w:val="nil"/>
            </w:tcBorders>
            <w:shd w:val="clear" w:color="auto" w:fill="auto"/>
            <w:vAlign w:val="center"/>
            <w:hideMark/>
          </w:tcPr>
          <w:p w:rsidR="00C206D1" w:rsidRPr="00312733" w:rsidRDefault="00C206D1" w:rsidP="000A2834">
            <w:pPr>
              <w:spacing w:line="240" w:lineRule="auto"/>
              <w:jc w:val="center"/>
              <w:rPr>
                <w:b/>
                <w:color w:val="000000"/>
              </w:rPr>
            </w:pPr>
            <w:r w:rsidRPr="00312733">
              <w:rPr>
                <w:b/>
                <w:color w:val="000000"/>
                <w:sz w:val="22"/>
                <w:szCs w:val="22"/>
              </w:rPr>
              <w:t>References</w:t>
            </w:r>
          </w:p>
        </w:tc>
      </w:tr>
      <w:tr w:rsidR="00C206D1" w:rsidRPr="00312733" w:rsidTr="00E206FF">
        <w:trPr>
          <w:cantSplit/>
          <w:trHeight w:val="20"/>
        </w:trPr>
        <w:tc>
          <w:tcPr>
            <w:tcW w:w="9251" w:type="dxa"/>
            <w:gridSpan w:val="4"/>
            <w:tcBorders>
              <w:top w:val="single" w:sz="4" w:space="0" w:color="auto"/>
              <w:left w:val="nil"/>
              <w:bottom w:val="single" w:sz="4" w:space="0" w:color="auto"/>
              <w:right w:val="nil"/>
            </w:tcBorders>
            <w:shd w:val="clear" w:color="auto" w:fill="auto"/>
            <w:vAlign w:val="bottom"/>
            <w:hideMark/>
          </w:tcPr>
          <w:p w:rsidR="00C206D1" w:rsidRPr="00312733" w:rsidRDefault="00C206D1" w:rsidP="00E206FF">
            <w:pPr>
              <w:spacing w:line="240" w:lineRule="auto"/>
              <w:rPr>
                <w:b/>
                <w:color w:val="000000"/>
              </w:rPr>
            </w:pPr>
            <w:r w:rsidRPr="00312733">
              <w:rPr>
                <w:b/>
                <w:color w:val="000000"/>
                <w:sz w:val="22"/>
                <w:szCs w:val="22"/>
              </w:rPr>
              <w:t>Projects with Small Bird Estimates by Region</w:t>
            </w:r>
          </w:p>
        </w:tc>
      </w:tr>
      <w:tr w:rsidR="00C206D1" w:rsidRPr="00312733" w:rsidTr="003019F0">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3019F0">
            <w:pPr>
              <w:spacing w:line="240" w:lineRule="auto"/>
              <w:jc w:val="center"/>
              <w:rPr>
                <w:b/>
                <w:color w:val="000000"/>
              </w:rPr>
            </w:pPr>
            <w:r w:rsidRPr="00312733">
              <w:rPr>
                <w:b/>
                <w:color w:val="000000"/>
                <w:sz w:val="22"/>
                <w:szCs w:val="22"/>
              </w:rPr>
              <w:t>Eastern Biome</w:t>
            </w:r>
          </w:p>
        </w:tc>
      </w:tr>
      <w:tr w:rsidR="00C206D1" w:rsidRPr="00312733" w:rsidTr="000A2834">
        <w:trPr>
          <w:cantSplit/>
          <w:trHeight w:val="20"/>
        </w:trPr>
        <w:tc>
          <w:tcPr>
            <w:tcW w:w="4140" w:type="dxa"/>
            <w:tcBorders>
              <w:top w:val="single" w:sz="4" w:space="0" w:color="auto"/>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Criterion (2011)</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49.0</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11.57</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[1]</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Mount Storm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35.2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3.03</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[2,3]</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Mount Storm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35.0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3.3</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[4,5]</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Mount Storm (2011)</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66.2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2.29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[6,7]</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Noble Bliss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[8]</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Noble Bliss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66.0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[9]</w:t>
            </w:r>
          </w:p>
        </w:tc>
      </w:tr>
      <w:tr w:rsidR="00C206D1" w:rsidRPr="00312733" w:rsidTr="000A2834">
        <w:trPr>
          <w:cantSplit/>
          <w:trHeight w:val="20"/>
        </w:trPr>
        <w:tc>
          <w:tcPr>
            <w:tcW w:w="4140" w:type="dxa"/>
            <w:tcBorders>
              <w:left w:val="nil"/>
              <w:bottom w:val="single" w:sz="4" w:space="0" w:color="auto"/>
              <w:right w:val="nil"/>
            </w:tcBorders>
            <w:vAlign w:val="center"/>
            <w:hideMark/>
          </w:tcPr>
          <w:p w:rsidR="00C206D1" w:rsidRPr="00312733" w:rsidRDefault="00C206D1" w:rsidP="00E206FF">
            <w:pPr>
              <w:spacing w:line="240" w:lineRule="auto"/>
              <w:rPr>
                <w:color w:val="000000"/>
              </w:rPr>
            </w:pPr>
            <w:r w:rsidRPr="00312733">
              <w:rPr>
                <w:color w:val="000000"/>
                <w:sz w:val="22"/>
                <w:szCs w:val="22"/>
              </w:rPr>
              <w:t>Noble Wethersfield (2010)</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39.0</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[10]</w:t>
            </w:r>
          </w:p>
        </w:tc>
      </w:tr>
      <w:tr w:rsidR="00C206D1" w:rsidRPr="00312733" w:rsidTr="003019F0">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3019F0">
            <w:pPr>
              <w:keepNext/>
              <w:spacing w:line="240" w:lineRule="auto"/>
              <w:jc w:val="center"/>
              <w:rPr>
                <w:b/>
                <w:color w:val="000000"/>
              </w:rPr>
            </w:pPr>
            <w:r w:rsidRPr="00312733">
              <w:rPr>
                <w:b/>
                <w:color w:val="000000"/>
                <w:sz w:val="22"/>
                <w:szCs w:val="22"/>
              </w:rPr>
              <w:t>Intermountain West Biome</w:t>
            </w:r>
          </w:p>
        </w:tc>
      </w:tr>
      <w:tr w:rsidR="00C206D1" w:rsidRPr="00312733" w:rsidTr="000A2834">
        <w:trPr>
          <w:cantSplit/>
          <w:trHeight w:val="20"/>
        </w:trPr>
        <w:tc>
          <w:tcPr>
            <w:tcW w:w="4140" w:type="dxa"/>
            <w:tcBorders>
              <w:top w:val="single" w:sz="4" w:space="0" w:color="auto"/>
              <w:left w:val="nil"/>
              <w:right w:val="nil"/>
            </w:tcBorders>
            <w:vAlign w:val="center"/>
            <w:hideMark/>
          </w:tcPr>
          <w:p w:rsidR="00C206D1" w:rsidRPr="00312733" w:rsidRDefault="00C206D1" w:rsidP="00E206FF">
            <w:pPr>
              <w:keepNext/>
              <w:spacing w:line="240" w:lineRule="auto"/>
              <w:rPr>
                <w:color w:val="000000"/>
              </w:rPr>
            </w:pPr>
            <w:r w:rsidRPr="00312733">
              <w:rPr>
                <w:color w:val="000000"/>
                <w:sz w:val="22"/>
                <w:szCs w:val="22"/>
              </w:rPr>
              <w:t>Biglow Canyon (Phase I; 2008)</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36.8</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10.1</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pPr>
            <w:r w:rsidRPr="00312733">
              <w:rPr>
                <w:noProof/>
                <w:sz w:val="22"/>
                <w:szCs w:val="22"/>
              </w:rPr>
              <w:t>[11]</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Biglow Canyon (Phase I;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16.58</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[12]</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Biglow Canyon (Phase II; 2009/2010)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27.5</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3.41</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[13]</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Biglow Canyon (Phase II; 2010/2011)</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13.1</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[14]</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Biglow Canyon (Phase III; 2010/2011)</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32.6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[15]</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Combine Hills (2004)</w:t>
            </w:r>
            <w:r w:rsidRPr="00312733">
              <w:rPr>
                <w:sz w:val="22"/>
                <w:szCs w:val="22"/>
                <w:vertAlign w:val="superscript"/>
              </w:rPr>
              <w:t xml:space="preserve"> b</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16.7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[16]</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Combine Hills (2011)</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39.1</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15.5</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[17]</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Dry Lake 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75.3</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[18]</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Dry Lake II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86.0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6.5</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[19]</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Elkhorn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61.3</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27.8</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[20]</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Elkhorn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51.7</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[21]</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Foote Creek Rim (Phase I; 1999)</w:t>
            </w:r>
            <w:r w:rsidRPr="00312733">
              <w:rPr>
                <w:sz w:val="22"/>
                <w:szCs w:val="22"/>
                <w:vertAlign w:val="superscript"/>
              </w:rPr>
              <w:t xml:space="preserve"> </w:t>
            </w:r>
            <w:r w:rsidR="005D1936">
              <w:rPr>
                <w:sz w:val="22"/>
                <w:szCs w:val="22"/>
                <w:vertAlign w:val="superscript"/>
              </w:rPr>
              <w:t xml:space="preserve">b, </w:t>
            </w:r>
            <w:r w:rsidR="00372136">
              <w:rPr>
                <w:sz w:val="22"/>
                <w:szCs w:val="22"/>
                <w:vertAlign w:val="superscript"/>
              </w:rPr>
              <w:t>c,</w:t>
            </w:r>
            <w:r>
              <w:rPr>
                <w:sz w:val="22"/>
                <w:szCs w:val="22"/>
                <w:vertAlign w:val="superscript"/>
              </w:rPr>
              <w:t xml:space="preserve"> d</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59.0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9.75,19.14,15.44,10.99,13.37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[22]</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Foote Creek Rim (Phase I; 2000)</w:t>
            </w:r>
            <w:r w:rsidRPr="00312733">
              <w:rPr>
                <w:sz w:val="22"/>
                <w:szCs w:val="22"/>
                <w:vertAlign w:val="superscript"/>
              </w:rPr>
              <w:t xml:space="preserve"> </w:t>
            </w:r>
            <w:r w:rsidR="00874123">
              <w:rPr>
                <w:sz w:val="22"/>
                <w:szCs w:val="22"/>
                <w:vertAlign w:val="superscript"/>
              </w:rPr>
              <w:t>b,</w:t>
            </w:r>
            <w:r>
              <w:rPr>
                <w:sz w:val="22"/>
                <w:szCs w:val="22"/>
                <w:vertAlign w:val="superscript"/>
              </w:rPr>
              <w:t xml:space="preserve"> </w:t>
            </w:r>
            <w:r w:rsidR="00372136">
              <w:rPr>
                <w:sz w:val="22"/>
                <w:szCs w:val="22"/>
                <w:vertAlign w:val="superscript"/>
              </w:rPr>
              <w:t xml:space="preserve">c, </w:t>
            </w:r>
            <w:r>
              <w:rPr>
                <w:sz w:val="22"/>
                <w:szCs w:val="22"/>
                <w:vertAlign w:val="superscript"/>
              </w:rPr>
              <w:t>d</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59.0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9.75, 19.14, 15.44, 10.99, 13.37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[22]</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Foote Creek Rim (Phase I; 2001-2002)</w:t>
            </w:r>
            <w:r w:rsidRPr="00312733">
              <w:rPr>
                <w:sz w:val="22"/>
                <w:szCs w:val="22"/>
                <w:vertAlign w:val="superscript"/>
              </w:rPr>
              <w:t xml:space="preserve"> </w:t>
            </w:r>
            <w:r w:rsidR="00874123">
              <w:rPr>
                <w:sz w:val="22"/>
                <w:szCs w:val="22"/>
                <w:vertAlign w:val="superscript"/>
              </w:rPr>
              <w:t>b,</w:t>
            </w:r>
            <w:r>
              <w:rPr>
                <w:sz w:val="22"/>
                <w:szCs w:val="22"/>
                <w:vertAlign w:val="superscript"/>
              </w:rPr>
              <w:t xml:space="preserve"> </w:t>
            </w:r>
            <w:r w:rsidR="00372136">
              <w:rPr>
                <w:sz w:val="22"/>
                <w:szCs w:val="22"/>
                <w:vertAlign w:val="superscript"/>
              </w:rPr>
              <w:t xml:space="preserve">c, </w:t>
            </w:r>
            <w:r>
              <w:rPr>
                <w:sz w:val="22"/>
                <w:szCs w:val="22"/>
                <w:vertAlign w:val="superscript"/>
              </w:rPr>
              <w:t>d</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59.0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9.75, 19.14, 15.44, 10.99, 13.37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[22]</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 xml:space="preserve">Goodnoe </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65.7</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10.44</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[23]</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Hay Canyon</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5.14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[24]</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 xml:space="preserve">Hopkins Ridge </w:t>
            </w:r>
            <w:r w:rsidR="00005E04">
              <w:rPr>
                <w:color w:val="000000"/>
                <w:sz w:val="22"/>
                <w:szCs w:val="22"/>
              </w:rPr>
              <w:t>(</w:t>
            </w:r>
            <w:r w:rsidRPr="00312733">
              <w:rPr>
                <w:color w:val="000000"/>
                <w:sz w:val="22"/>
                <w:szCs w:val="22"/>
              </w:rPr>
              <w:t>2006</w:t>
            </w:r>
            <w:r w:rsidR="00005E04">
              <w:rPr>
                <w:color w:val="000000"/>
                <w:sz w:val="22"/>
                <w:szCs w:val="22"/>
              </w:rPr>
              <w:t>)</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52.9</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26.6</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[25]</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 xml:space="preserve">Hopkins Ridge </w:t>
            </w:r>
            <w:r w:rsidR="00005E04">
              <w:rPr>
                <w:color w:val="000000"/>
                <w:sz w:val="22"/>
                <w:szCs w:val="22"/>
              </w:rPr>
              <w:t>(</w:t>
            </w:r>
            <w:r w:rsidRPr="00312733">
              <w:rPr>
                <w:color w:val="000000"/>
                <w:sz w:val="22"/>
                <w:szCs w:val="22"/>
              </w:rPr>
              <w:t>2008</w:t>
            </w:r>
            <w:r w:rsidR="00005E04">
              <w:rPr>
                <w:color w:val="000000"/>
                <w:sz w:val="22"/>
                <w:szCs w:val="22"/>
              </w:rPr>
              <w:t>)</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34.4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10.4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[26]</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Kittitas Valley (2011/2012)</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62.5</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[27]</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Klondike</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75</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14.2</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[28]</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Klondike II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47.7</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[29]</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Klondike III (Phase I)</w:t>
            </w:r>
            <w:r w:rsidRPr="00312733">
              <w:rPr>
                <w:sz w:val="22"/>
                <w:szCs w:val="22"/>
                <w:vertAlign w:val="superscript"/>
              </w:rPr>
              <w:t xml:space="preserve"> e, f</w:t>
            </w:r>
            <w:r>
              <w:rPr>
                <w:sz w:val="22"/>
                <w:szCs w:val="22"/>
                <w:vertAlign w:val="superscript"/>
              </w:rPr>
              <w:t>, g, h</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47.6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12.59, 21.21, 6.86, 4.03; 3.78, 12.35, 7.17, 11.24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[30]</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Klondike IIIa (Phase II)</w:t>
            </w:r>
            <w:r w:rsidRPr="00312733">
              <w:rPr>
                <w:sz w:val="22"/>
                <w:szCs w:val="22"/>
                <w:vertAlign w:val="superscript"/>
              </w:rPr>
              <w:t xml:space="preserve"> </w:t>
            </w:r>
            <w:r>
              <w:rPr>
                <w:color w:val="000000"/>
                <w:vertAlign w:val="superscript"/>
              </w:rPr>
              <w:t>i, j, l</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55.2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2.92, 22.26, 13.52, 7.26; 5.07, 2.56, 13.55, 4.48</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[31]</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Linden Ranch</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18.6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20.92</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[32]</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 xml:space="preserve">Marengo I </w:t>
            </w:r>
            <w:r w:rsidR="00005E04">
              <w:rPr>
                <w:color w:val="000000"/>
                <w:sz w:val="22"/>
                <w:szCs w:val="22"/>
              </w:rPr>
              <w:t>(</w:t>
            </w:r>
            <w:r w:rsidRPr="00312733">
              <w:rPr>
                <w:color w:val="000000"/>
                <w:sz w:val="22"/>
                <w:szCs w:val="22"/>
              </w:rPr>
              <w:t>2009</w:t>
            </w:r>
            <w:r w:rsidR="00005E04">
              <w:rPr>
                <w:color w:val="000000"/>
                <w:sz w:val="22"/>
                <w:szCs w:val="22"/>
              </w:rPr>
              <w:t>)</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48</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14.76</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[33]</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 xml:space="preserve">Marengo II </w:t>
            </w:r>
            <w:r w:rsidR="00005E04">
              <w:rPr>
                <w:color w:val="000000"/>
                <w:sz w:val="22"/>
                <w:szCs w:val="22"/>
              </w:rPr>
              <w:t>(</w:t>
            </w:r>
            <w:r w:rsidRPr="00312733">
              <w:rPr>
                <w:color w:val="000000"/>
                <w:sz w:val="22"/>
                <w:szCs w:val="22"/>
              </w:rPr>
              <w:t>2009</w:t>
            </w:r>
            <w:r w:rsidR="00005E04">
              <w:rPr>
                <w:color w:val="000000"/>
                <w:sz w:val="22"/>
                <w:szCs w:val="22"/>
              </w:rPr>
              <w:t>)</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48</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14.76</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[34]</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Nine Canyon</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11</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[35]</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 xml:space="preserve">Stateline </w:t>
            </w:r>
            <w:r w:rsidR="00005E04">
              <w:rPr>
                <w:color w:val="000000"/>
                <w:sz w:val="22"/>
                <w:szCs w:val="22"/>
              </w:rPr>
              <w:t>(</w:t>
            </w:r>
            <w:r w:rsidRPr="00312733">
              <w:rPr>
                <w:color w:val="000000"/>
                <w:sz w:val="22"/>
                <w:szCs w:val="22"/>
              </w:rPr>
              <w:t>2002</w:t>
            </w:r>
            <w:r w:rsidR="00005E04">
              <w:rPr>
                <w:color w:val="000000"/>
                <w:sz w:val="22"/>
                <w:szCs w:val="22"/>
              </w:rPr>
              <w:t>)</w:t>
            </w:r>
            <w:r w:rsidRPr="00312733">
              <w:rPr>
                <w:sz w:val="22"/>
                <w:szCs w:val="22"/>
                <w:vertAlign w:val="superscript"/>
              </w:rPr>
              <w:t xml:space="preserve"> </w:t>
            </w:r>
            <w:r w:rsidR="00F46E13">
              <w:rPr>
                <w:sz w:val="22"/>
                <w:szCs w:val="22"/>
                <w:vertAlign w:val="superscript"/>
              </w:rPr>
              <w:t>k</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16.7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[36]</w:t>
            </w:r>
          </w:p>
        </w:tc>
      </w:tr>
      <w:tr w:rsidR="00C206D1" w:rsidRPr="00312733" w:rsidTr="000A2834">
        <w:trPr>
          <w:cantSplit/>
          <w:trHeight w:val="20"/>
        </w:trPr>
        <w:tc>
          <w:tcPr>
            <w:tcW w:w="4140" w:type="dxa"/>
            <w:tcBorders>
              <w:left w:val="nil"/>
              <w:right w:val="nil"/>
            </w:tcBorders>
            <w:vAlign w:val="center"/>
            <w:hideMark/>
          </w:tcPr>
          <w:p w:rsidR="00C206D1" w:rsidRPr="00005E04" w:rsidRDefault="00C206D1" w:rsidP="00E206FF">
            <w:pPr>
              <w:spacing w:line="240" w:lineRule="auto"/>
              <w:rPr>
                <w:color w:val="000000"/>
              </w:rPr>
            </w:pPr>
            <w:r w:rsidRPr="00312733">
              <w:rPr>
                <w:color w:val="000000"/>
                <w:sz w:val="22"/>
                <w:szCs w:val="22"/>
              </w:rPr>
              <w:lastRenderedPageBreak/>
              <w:t xml:space="preserve">Stateline </w:t>
            </w:r>
            <w:r w:rsidR="00005E04">
              <w:rPr>
                <w:color w:val="000000"/>
                <w:sz w:val="22"/>
                <w:szCs w:val="22"/>
              </w:rPr>
              <w:t>(</w:t>
            </w:r>
            <w:r w:rsidRPr="00312733">
              <w:rPr>
                <w:color w:val="000000"/>
                <w:sz w:val="22"/>
                <w:szCs w:val="22"/>
              </w:rPr>
              <w:t>2003</w:t>
            </w:r>
            <w:r w:rsidR="00005E04">
              <w:rPr>
                <w:sz w:val="22"/>
                <w:szCs w:val="22"/>
              </w:rPr>
              <w:t>)</w:t>
            </w:r>
            <w:r w:rsidR="00F46E13" w:rsidRPr="00312733">
              <w:rPr>
                <w:sz w:val="22"/>
                <w:szCs w:val="22"/>
                <w:vertAlign w:val="superscript"/>
              </w:rPr>
              <w:t xml:space="preserve"> </w:t>
            </w:r>
            <w:r w:rsidR="00F46E13">
              <w:rPr>
                <w:sz w:val="22"/>
                <w:szCs w:val="22"/>
                <w:vertAlign w:val="superscript"/>
              </w:rPr>
              <w:t>k</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16.7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[36]</w:t>
            </w:r>
          </w:p>
        </w:tc>
      </w:tr>
      <w:tr w:rsidR="00C206D1" w:rsidRPr="00312733" w:rsidTr="000A2834">
        <w:trPr>
          <w:cantSplit/>
          <w:trHeight w:val="20"/>
        </w:trPr>
        <w:tc>
          <w:tcPr>
            <w:tcW w:w="4140" w:type="dxa"/>
            <w:tcBorders>
              <w:left w:val="nil"/>
              <w:right w:val="nil"/>
            </w:tcBorders>
            <w:vAlign w:val="center"/>
            <w:hideMark/>
          </w:tcPr>
          <w:p w:rsidR="00C206D1" w:rsidRPr="00005E04" w:rsidRDefault="00C206D1" w:rsidP="00E206FF">
            <w:pPr>
              <w:spacing w:line="240" w:lineRule="auto"/>
              <w:rPr>
                <w:color w:val="000000"/>
              </w:rPr>
            </w:pPr>
            <w:r w:rsidRPr="00312733">
              <w:rPr>
                <w:color w:val="000000"/>
                <w:sz w:val="22"/>
                <w:szCs w:val="22"/>
              </w:rPr>
              <w:t xml:space="preserve">Stateline </w:t>
            </w:r>
            <w:r w:rsidR="00005E04">
              <w:rPr>
                <w:color w:val="000000"/>
                <w:sz w:val="22"/>
                <w:szCs w:val="22"/>
              </w:rPr>
              <w:t>(</w:t>
            </w:r>
            <w:r w:rsidRPr="00312733">
              <w:rPr>
                <w:color w:val="000000"/>
                <w:sz w:val="22"/>
                <w:szCs w:val="22"/>
              </w:rPr>
              <w:t>2006</w:t>
            </w:r>
            <w:r w:rsidR="00005E04">
              <w:rPr>
                <w:sz w:val="22"/>
                <w:szCs w:val="22"/>
              </w:rPr>
              <w:t>)</w:t>
            </w:r>
            <w:r w:rsidR="00F46E13" w:rsidRPr="00312733">
              <w:rPr>
                <w:sz w:val="22"/>
                <w:szCs w:val="22"/>
                <w:vertAlign w:val="superscript"/>
              </w:rPr>
              <w:t xml:space="preserve"> </w:t>
            </w:r>
            <w:r w:rsidR="00F46E13">
              <w:rPr>
                <w:sz w:val="22"/>
                <w:szCs w:val="22"/>
                <w:vertAlign w:val="superscript"/>
              </w:rPr>
              <w:t>k</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16.7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[37]</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Vansycle</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23.4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[38]</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Vantage</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25</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21.4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[39]</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Wild Horse</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41</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17.7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[40]</w:t>
            </w:r>
          </w:p>
        </w:tc>
      </w:tr>
      <w:tr w:rsidR="00C206D1" w:rsidRPr="00312733" w:rsidTr="000A2834">
        <w:trPr>
          <w:cantSplit/>
          <w:trHeight w:val="20"/>
        </w:trPr>
        <w:tc>
          <w:tcPr>
            <w:tcW w:w="4140" w:type="dxa"/>
            <w:tcBorders>
              <w:left w:val="nil"/>
              <w:bottom w:val="single" w:sz="4" w:space="0" w:color="auto"/>
              <w:right w:val="nil"/>
            </w:tcBorders>
            <w:vAlign w:val="center"/>
            <w:hideMark/>
          </w:tcPr>
          <w:p w:rsidR="00C206D1" w:rsidRPr="00312733" w:rsidRDefault="00C206D1" w:rsidP="00E206FF">
            <w:pPr>
              <w:spacing w:line="240" w:lineRule="auto"/>
              <w:rPr>
                <w:color w:val="000000"/>
              </w:rPr>
            </w:pPr>
            <w:r w:rsidRPr="00312733">
              <w:rPr>
                <w:color w:val="000000"/>
                <w:sz w:val="22"/>
                <w:szCs w:val="22"/>
              </w:rPr>
              <w:t>Windy Flats (Windy Point II)</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17.1</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pPr>
            <w:r w:rsidRPr="00312733">
              <w:rPr>
                <w:noProof/>
                <w:color w:val="000000"/>
                <w:sz w:val="22"/>
                <w:szCs w:val="22"/>
              </w:rPr>
              <w:t>[41]</w:t>
            </w:r>
          </w:p>
        </w:tc>
      </w:tr>
      <w:tr w:rsidR="00C206D1" w:rsidRPr="00312733" w:rsidTr="00D06556">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D06556">
            <w:pPr>
              <w:spacing w:line="240" w:lineRule="auto"/>
              <w:jc w:val="center"/>
              <w:rPr>
                <w:b/>
                <w:color w:val="000000"/>
              </w:rPr>
            </w:pPr>
            <w:r w:rsidRPr="00312733">
              <w:rPr>
                <w:b/>
                <w:color w:val="000000"/>
                <w:sz w:val="22"/>
                <w:szCs w:val="22"/>
              </w:rPr>
              <w:t>Northern Forest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Lempster (2010)</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56.3</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rPr>
                <w:noProof/>
                <w:color w:val="000000"/>
              </w:rPr>
            </w:pPr>
            <w:r w:rsidRPr="00312733">
              <w:rPr>
                <w:noProof/>
                <w:sz w:val="22"/>
                <w:szCs w:val="22"/>
              </w:rPr>
              <w:t>[42]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Maple Ridge (2007)</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[43]</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Maple Ridge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66.0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[44]</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Noble Altona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74.0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[45]</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Noble Chateaugay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67.0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[46]</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Noble Clinton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80.0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[47]</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Noble Clinton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75.0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[48]</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Noble Ellenburg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85.0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[49]</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Noble Ellenburg (2009)</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75.0</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[50]</w:t>
            </w:r>
          </w:p>
        </w:tc>
      </w:tr>
      <w:tr w:rsidR="00C206D1" w:rsidRPr="00312733" w:rsidTr="00D06556">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D06556">
            <w:pPr>
              <w:keepNext/>
              <w:spacing w:line="240" w:lineRule="auto"/>
              <w:jc w:val="center"/>
              <w:rPr>
                <w:b/>
                <w:color w:val="000000"/>
              </w:rPr>
            </w:pPr>
            <w:r w:rsidRPr="00312733">
              <w:rPr>
                <w:b/>
                <w:color w:val="000000"/>
                <w:sz w:val="22"/>
                <w:szCs w:val="22"/>
              </w:rPr>
              <w:t>Pacific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 xml:space="preserve">Alite </w:t>
            </w:r>
            <w:r w:rsidR="00005E04">
              <w:rPr>
                <w:color w:val="000000"/>
                <w:sz w:val="22"/>
                <w:szCs w:val="22"/>
              </w:rPr>
              <w:t>(</w:t>
            </w:r>
            <w:r w:rsidRPr="00312733">
              <w:rPr>
                <w:color w:val="000000"/>
                <w:sz w:val="22"/>
                <w:szCs w:val="22"/>
              </w:rPr>
              <w:t>2010</w:t>
            </w:r>
            <w:r w:rsidR="00005E04">
              <w:rPr>
                <w:color w:val="000000"/>
                <w:sz w:val="22"/>
                <w:szCs w:val="22"/>
              </w:rPr>
              <w:t>)</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56.8</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5.85</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[51]</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Diablo</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44.0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color w:val="000000"/>
                <w:sz w:val="22"/>
                <w:szCs w:val="22"/>
              </w:rPr>
              <w:t>[52,53]</w:t>
            </w:r>
          </w:p>
        </w:tc>
      </w:tr>
      <w:tr w:rsidR="00C206D1" w:rsidRPr="00312733" w:rsidTr="000A2834">
        <w:trPr>
          <w:cantSplit/>
          <w:trHeight w:val="20"/>
        </w:trPr>
        <w:tc>
          <w:tcPr>
            <w:tcW w:w="4140" w:type="dxa"/>
            <w:tcBorders>
              <w:left w:val="nil"/>
              <w:right w:val="nil"/>
            </w:tcBorders>
            <w:vAlign w:val="bottom"/>
            <w:hideMark/>
          </w:tcPr>
          <w:p w:rsidR="00C206D1" w:rsidRPr="003019F0" w:rsidRDefault="00C206D1" w:rsidP="00E206FF">
            <w:pPr>
              <w:spacing w:line="240" w:lineRule="auto"/>
              <w:rPr>
                <w:color w:val="000000"/>
                <w:vertAlign w:val="superscript"/>
              </w:rPr>
            </w:pPr>
            <w:r w:rsidRPr="00312733">
              <w:rPr>
                <w:color w:val="000000"/>
                <w:sz w:val="22"/>
                <w:szCs w:val="22"/>
              </w:rPr>
              <w:t>Dillon</w:t>
            </w:r>
            <w:r w:rsidR="003019F0">
              <w:rPr>
                <w:color w:val="000000"/>
                <w:sz w:val="22"/>
                <w:szCs w:val="22"/>
              </w:rPr>
              <w:t xml:space="preserve"> </w:t>
            </w:r>
            <w:r w:rsidR="003019F0">
              <w:rPr>
                <w:color w:val="000000"/>
                <w:sz w:val="22"/>
                <w:szCs w:val="22"/>
                <w:vertAlign w:val="superscript"/>
              </w:rPr>
              <w:t>m</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72.0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17.39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[54]</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Pine Tree</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41.2</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1.92</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[55]</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 xml:space="preserve">Shiloh </w:t>
            </w:r>
            <w:r w:rsidR="00005E04">
              <w:rPr>
                <w:color w:val="000000"/>
                <w:sz w:val="22"/>
                <w:szCs w:val="22"/>
              </w:rPr>
              <w:t>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35.0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[56]</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Shiloh II (Year 1)</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67.0</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pPr>
            <w:r w:rsidRPr="00312733">
              <w:rPr>
                <w:noProof/>
                <w:sz w:val="22"/>
                <w:szCs w:val="22"/>
              </w:rPr>
              <w:t>[57]</w:t>
            </w:r>
          </w:p>
        </w:tc>
      </w:tr>
      <w:tr w:rsidR="00C206D1" w:rsidRPr="00312733" w:rsidTr="00D06556">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D06556">
            <w:pPr>
              <w:spacing w:line="240" w:lineRule="auto"/>
              <w:jc w:val="center"/>
              <w:rPr>
                <w:b/>
                <w:color w:val="000000"/>
              </w:rPr>
            </w:pPr>
            <w:r w:rsidRPr="00312733">
              <w:rPr>
                <w:b/>
                <w:color w:val="000000"/>
                <w:sz w:val="22"/>
                <w:szCs w:val="22"/>
              </w:rPr>
              <w:t>Prairie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Barton Chapel</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38.2</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7.09</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pPr>
            <w:r w:rsidRPr="00312733">
              <w:rPr>
                <w:noProof/>
                <w:sz w:val="22"/>
                <w:szCs w:val="22"/>
              </w:rPr>
              <w:t>[58]</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Blue Sky Green Field</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61.3</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10.62</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[59]</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Gap I</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r w:rsidRPr="00312733">
              <w:rPr>
                <w:color w:val="000000"/>
                <w:sz w:val="22"/>
                <w:szCs w:val="22"/>
              </w:rPr>
              <w:t>4</w:t>
            </w: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[60]</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Gap II</w:t>
            </w:r>
          </w:p>
        </w:tc>
        <w:tc>
          <w:tcPr>
            <w:tcW w:w="1710" w:type="dxa"/>
            <w:tcBorders>
              <w:left w:val="nil"/>
              <w:right w:val="nil"/>
            </w:tcBorders>
            <w:vAlign w:val="center"/>
          </w:tcPr>
          <w:p w:rsidR="00C206D1" w:rsidRPr="00312733" w:rsidRDefault="00C206D1" w:rsidP="00E206FF">
            <w:pPr>
              <w:spacing w:line="240" w:lineRule="auto"/>
              <w:jc w:val="center"/>
            </w:pPr>
          </w:p>
        </w:tc>
        <w:tc>
          <w:tcPr>
            <w:tcW w:w="2302" w:type="dxa"/>
            <w:tcBorders>
              <w:left w:val="nil"/>
              <w:right w:val="nil"/>
            </w:tcBorders>
            <w:vAlign w:val="center"/>
          </w:tcPr>
          <w:p w:rsidR="00C206D1" w:rsidRPr="00312733" w:rsidRDefault="00C206D1" w:rsidP="00E206FF">
            <w:pPr>
              <w:spacing w:line="240" w:lineRule="auto"/>
              <w:jc w:val="center"/>
              <w:rPr>
                <w:color w:val="000000"/>
              </w:rPr>
            </w:pPr>
            <w:r w:rsidRPr="00312733">
              <w:rPr>
                <w:color w:val="000000"/>
                <w:sz w:val="22"/>
                <w:szCs w:val="22"/>
              </w:rPr>
              <w:t>1.64</w:t>
            </w: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[61]</w:t>
            </w:r>
          </w:p>
        </w:tc>
      </w:tr>
      <w:tr w:rsidR="00C206D1" w:rsidRPr="00312733" w:rsidTr="000A2834">
        <w:trPr>
          <w:cantSplit/>
          <w:trHeight w:val="20"/>
        </w:trPr>
        <w:tc>
          <w:tcPr>
            <w:tcW w:w="4140" w:type="dxa"/>
            <w:tcBorders>
              <w:left w:val="nil"/>
              <w:right w:val="nil"/>
            </w:tcBorders>
            <w:vAlign w:val="bottom"/>
            <w:hideMark/>
          </w:tcPr>
          <w:p w:rsidR="00C206D1" w:rsidRPr="006D24CF" w:rsidRDefault="00C206D1" w:rsidP="00E206FF">
            <w:pPr>
              <w:spacing w:line="240" w:lineRule="auto"/>
              <w:rPr>
                <w:color w:val="000000"/>
                <w:vertAlign w:val="superscript"/>
              </w:rPr>
            </w:pPr>
            <w:r w:rsidRPr="00312733">
              <w:rPr>
                <w:color w:val="000000"/>
                <w:sz w:val="22"/>
                <w:szCs w:val="22"/>
              </w:rPr>
              <w:t>Buffalo Ridge (Phase I; 1996)</w:t>
            </w:r>
            <w:r w:rsidR="006D24CF">
              <w:rPr>
                <w:color w:val="000000"/>
                <w:sz w:val="22"/>
                <w:szCs w:val="22"/>
                <w:vertAlign w:val="superscript"/>
              </w:rPr>
              <w:t>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(Phase I; 1997)</w:t>
            </w:r>
            <w:r w:rsidR="006D24CF">
              <w:rPr>
                <w:color w:val="000000"/>
                <w:sz w:val="22"/>
                <w:szCs w:val="22"/>
                <w:vertAlign w:val="superscript"/>
              </w:rPr>
              <w:t xml:space="preserve"> 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(Phase I; 1998)</w:t>
            </w:r>
            <w:r w:rsidR="006D24CF">
              <w:rPr>
                <w:color w:val="000000"/>
                <w:sz w:val="22"/>
                <w:szCs w:val="22"/>
                <w:vertAlign w:val="superscript"/>
              </w:rPr>
              <w:t xml:space="preserve"> 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(Phase I; 1999)</w:t>
            </w:r>
            <w:r w:rsidR="006D24CF">
              <w:rPr>
                <w:color w:val="000000"/>
                <w:sz w:val="22"/>
                <w:szCs w:val="22"/>
                <w:vertAlign w:val="superscript"/>
              </w:rPr>
              <w:t xml:space="preserve"> 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(Phase II; 1998)</w:t>
            </w:r>
            <w:r w:rsidR="006D24CF">
              <w:rPr>
                <w:color w:val="000000"/>
                <w:sz w:val="22"/>
                <w:szCs w:val="22"/>
                <w:vertAlign w:val="superscript"/>
              </w:rPr>
              <w:t xml:space="preserve"> 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(Phase II; 1999)</w:t>
            </w:r>
            <w:r w:rsidR="006D24CF">
              <w:rPr>
                <w:color w:val="000000"/>
                <w:sz w:val="22"/>
                <w:szCs w:val="22"/>
                <w:vertAlign w:val="superscript"/>
              </w:rPr>
              <w:t xml:space="preserve"> 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(Phase III; 1999)</w:t>
            </w:r>
            <w:r w:rsidR="006D24CF">
              <w:rPr>
                <w:color w:val="000000"/>
                <w:sz w:val="22"/>
                <w:szCs w:val="22"/>
                <w:vertAlign w:val="superscript"/>
              </w:rPr>
              <w:t xml:space="preserve"> a</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I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62.3</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8.34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[63]</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Ridge II (2011)</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84.4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7.2</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[64]</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Cedar Ridge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51</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[65]</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Cedar Ridge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[66]</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Elm Creek</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65.1</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8.08</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[67]</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Elm Creek II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82.1</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[68]</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Grand Ridge 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52.4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6.22</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[69]</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NPPD Ainsworth</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5.1</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[70]</w:t>
            </w:r>
          </w:p>
        </w:tc>
      </w:tr>
      <w:tr w:rsidR="00C206D1" w:rsidRPr="00312733" w:rsidTr="000A2834">
        <w:trPr>
          <w:cantSplit/>
          <w:trHeight w:val="20"/>
        </w:trPr>
        <w:tc>
          <w:tcPr>
            <w:tcW w:w="4140" w:type="dxa"/>
            <w:tcBorders>
              <w:left w:val="nil"/>
              <w:right w:val="nil"/>
            </w:tcBorders>
            <w:vAlign w:val="center"/>
            <w:hideMark/>
          </w:tcPr>
          <w:p w:rsidR="00C206D1" w:rsidRPr="00312733" w:rsidRDefault="00C206D1" w:rsidP="00E206FF">
            <w:pPr>
              <w:spacing w:line="240" w:lineRule="auto"/>
              <w:rPr>
                <w:color w:val="000000"/>
              </w:rPr>
            </w:pPr>
            <w:r w:rsidRPr="00312733">
              <w:rPr>
                <w:color w:val="000000"/>
                <w:sz w:val="22"/>
                <w:szCs w:val="22"/>
              </w:rPr>
              <w:t>Prairie Winds SD1 (Crow Lake)</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37.7</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8.31 (spring, fall), 24.3 (summer),7.40 (winter), 11.27 (overall)</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[71]</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Rugby</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57.1</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8.45</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[72]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lastRenderedPageBreak/>
              <w:t>Wessington Springs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17.6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7.7</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[73]</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Wessington Springs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40.4</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10.89</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[74]</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Winnebago</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78.7</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6.67</w:t>
            </w: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[75]</w:t>
            </w:r>
          </w:p>
        </w:tc>
      </w:tr>
      <w:tr w:rsidR="00C206D1" w:rsidRPr="00312733" w:rsidTr="00E206FF">
        <w:trPr>
          <w:cantSplit/>
          <w:trHeight w:val="20"/>
        </w:trPr>
        <w:tc>
          <w:tcPr>
            <w:tcW w:w="9251" w:type="dxa"/>
            <w:gridSpan w:val="4"/>
            <w:tcBorders>
              <w:top w:val="single" w:sz="4" w:space="0" w:color="auto"/>
              <w:left w:val="nil"/>
              <w:bottom w:val="single" w:sz="4" w:space="0" w:color="auto"/>
              <w:right w:val="nil"/>
            </w:tcBorders>
            <w:shd w:val="clear" w:color="auto" w:fill="auto"/>
            <w:vAlign w:val="bottom"/>
            <w:hideMark/>
          </w:tcPr>
          <w:p w:rsidR="00C206D1" w:rsidRPr="00312733" w:rsidRDefault="00C206D1" w:rsidP="00E206FF">
            <w:pPr>
              <w:spacing w:line="240" w:lineRule="auto"/>
              <w:rPr>
                <w:b/>
                <w:color w:val="000000"/>
              </w:rPr>
            </w:pPr>
            <w:r w:rsidRPr="00312733">
              <w:rPr>
                <w:b/>
                <w:color w:val="000000"/>
                <w:sz w:val="22"/>
                <w:szCs w:val="22"/>
              </w:rPr>
              <w:t>Projects with All Bird Estimates (where small bird estimates were not available) by region</w:t>
            </w:r>
          </w:p>
        </w:tc>
      </w:tr>
      <w:tr w:rsidR="00C206D1" w:rsidRPr="00312733" w:rsidTr="0081362D">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81362D">
            <w:pPr>
              <w:spacing w:line="240" w:lineRule="auto"/>
              <w:jc w:val="center"/>
              <w:rPr>
                <w:b/>
                <w:color w:val="000000"/>
              </w:rPr>
            </w:pPr>
            <w:r w:rsidRPr="00312733">
              <w:rPr>
                <w:b/>
                <w:color w:val="000000"/>
                <w:sz w:val="22"/>
                <w:szCs w:val="22"/>
              </w:rPr>
              <w:t>Eastern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Mountain (2000-2003)</w:t>
            </w:r>
          </w:p>
        </w:tc>
        <w:tc>
          <w:tcPr>
            <w:tcW w:w="1710" w:type="dxa"/>
            <w:tcBorders>
              <w:top w:val="single" w:sz="4" w:space="0" w:color="auto"/>
              <w:left w:val="nil"/>
              <w:right w:val="nil"/>
            </w:tcBorders>
            <w:vAlign w:val="center"/>
          </w:tcPr>
          <w:p w:rsidR="00C206D1" w:rsidRPr="00312733" w:rsidRDefault="00C206D1" w:rsidP="00E206FF">
            <w:pPr>
              <w:spacing w:line="240" w:lineRule="auto"/>
              <w:jc w:val="center"/>
              <w:rPr>
                <w:color w:val="000000"/>
              </w:rPr>
            </w:pPr>
          </w:p>
        </w:tc>
        <w:tc>
          <w:tcPr>
            <w:tcW w:w="2302" w:type="dxa"/>
            <w:tcBorders>
              <w:top w:val="single" w:sz="4" w:space="0" w:color="auto"/>
              <w:left w:val="nil"/>
              <w:right w:val="nil"/>
            </w:tcBorders>
            <w:vAlign w:val="center"/>
          </w:tcPr>
          <w:p w:rsidR="00C206D1" w:rsidRPr="00312733" w:rsidRDefault="00C206D1" w:rsidP="00E206FF">
            <w:pPr>
              <w:spacing w:line="240" w:lineRule="auto"/>
              <w:jc w:val="center"/>
              <w:rPr>
                <w:color w:val="000000"/>
              </w:rPr>
            </w:pP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pPr>
            <w:r w:rsidRPr="00312733">
              <w:rPr>
                <w:noProof/>
                <w:sz w:val="22"/>
                <w:szCs w:val="22"/>
              </w:rPr>
              <w:t>[76]</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Buffalo Mountain (2005)</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[77]</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Casselman (2008)</w:t>
            </w:r>
          </w:p>
        </w:tc>
        <w:tc>
          <w:tcPr>
            <w:tcW w:w="1710" w:type="dxa"/>
            <w:tcBorders>
              <w:left w:val="nil"/>
              <w:right w:val="nil"/>
            </w:tcBorders>
            <w:vAlign w:val="center"/>
          </w:tcPr>
          <w:p w:rsidR="00C206D1" w:rsidRPr="00312733" w:rsidRDefault="00C206D1" w:rsidP="00E206FF">
            <w:pPr>
              <w:spacing w:line="240" w:lineRule="auto"/>
              <w:jc w:val="cente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[78]</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Casselman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[79]</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Cohocton/Dutch Hill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r w:rsidRPr="00312733">
              <w:rPr>
                <w:color w:val="000000"/>
                <w:sz w:val="22"/>
                <w:szCs w:val="22"/>
              </w:rPr>
              <w:t>4</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[80]</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Cohocton/Dutch Hills (2010)</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[81]</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Locust Ridge II (2009)</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29.0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[82]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Locust Ridge II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70.0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[82]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Mountaineer (2003)</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[83]</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Munnsville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16.6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[84]</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Ripley (2008)</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[85]</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Sheldon (2010)</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67.6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3.65</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[86]</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Sheldon (2011)</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84.2</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3.75</w:t>
            </w: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pPr>
            <w:r w:rsidRPr="00312733">
              <w:rPr>
                <w:noProof/>
                <w:sz w:val="22"/>
                <w:szCs w:val="22"/>
              </w:rPr>
              <w:t>[87]</w:t>
            </w:r>
          </w:p>
        </w:tc>
      </w:tr>
      <w:tr w:rsidR="00C206D1" w:rsidRPr="00312733" w:rsidTr="0081362D">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81362D">
            <w:pPr>
              <w:spacing w:line="240" w:lineRule="auto"/>
              <w:jc w:val="center"/>
              <w:rPr>
                <w:b/>
                <w:color w:val="000000"/>
              </w:rPr>
            </w:pPr>
            <w:r w:rsidRPr="00312733">
              <w:rPr>
                <w:b/>
                <w:color w:val="000000"/>
                <w:sz w:val="22"/>
                <w:szCs w:val="22"/>
              </w:rPr>
              <w:t>Intermountain West</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Big Horn</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43</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20.6</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pPr>
            <w:r w:rsidRPr="00312733">
              <w:rPr>
                <w:noProof/>
                <w:sz w:val="22"/>
                <w:szCs w:val="22"/>
              </w:rPr>
              <w:t>[88]</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Harvest Wind (2010-2012)</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46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color w:val="000000"/>
                <w:sz w:val="22"/>
                <w:szCs w:val="22"/>
              </w:rPr>
              <w:t>[89]</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Leaning Juniper</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63.8</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10.33</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[90]</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Pebble Springs</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[91]</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Summerview (2006)</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72.3</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[92]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Tuolumne (Windy Point 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33.3</w:t>
            </w:r>
          </w:p>
        </w:tc>
        <w:tc>
          <w:tcPr>
            <w:tcW w:w="2302" w:type="dxa"/>
            <w:tcBorders>
              <w:left w:val="nil"/>
              <w:right w:val="nil"/>
            </w:tcBorders>
            <w:vAlign w:val="center"/>
            <w:hideMark/>
          </w:tcPr>
          <w:p w:rsidR="00C206D1" w:rsidRPr="00312733" w:rsidRDefault="00C206D1" w:rsidP="00E206FF">
            <w:pPr>
              <w:spacing w:line="240" w:lineRule="auto"/>
              <w:jc w:val="center"/>
            </w:pPr>
            <w:r w:rsidRPr="00312733">
              <w:rPr>
                <w:sz w:val="22"/>
                <w:szCs w:val="22"/>
              </w:rPr>
              <w:t>12.33</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[93]</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White Creek (2007-2011)</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35</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rPr>
                <w:color w:val="000000"/>
              </w:rPr>
            </w:pPr>
            <w:r w:rsidRPr="00312733">
              <w:rPr>
                <w:noProof/>
                <w:color w:val="000000"/>
                <w:sz w:val="22"/>
                <w:szCs w:val="22"/>
              </w:rPr>
              <w:t>[94]</w:t>
            </w:r>
          </w:p>
        </w:tc>
      </w:tr>
      <w:tr w:rsidR="00C206D1" w:rsidRPr="00312733" w:rsidTr="0081362D">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81362D">
            <w:pPr>
              <w:spacing w:line="240" w:lineRule="auto"/>
              <w:jc w:val="center"/>
              <w:rPr>
                <w:b/>
                <w:color w:val="000000"/>
              </w:rPr>
            </w:pPr>
            <w:r w:rsidRPr="00312733">
              <w:rPr>
                <w:b/>
                <w:color w:val="000000"/>
                <w:sz w:val="22"/>
                <w:szCs w:val="22"/>
              </w:rPr>
              <w:t>Northern Forest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Lempster (2009)</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53.9</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6.23</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[95]</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Mars Hill (2007)</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[96]</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Mars Hill (2008)</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25.0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[97]</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Stetson Mountain I (2009)</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ind w:left="121" w:hanging="121"/>
              <w:jc w:val="center"/>
            </w:pPr>
            <w:r w:rsidRPr="00312733">
              <w:rPr>
                <w:noProof/>
                <w:sz w:val="22"/>
                <w:szCs w:val="22"/>
              </w:rPr>
              <w:t>[98]</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Stetson Mountain I (2011)</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keepNext/>
              <w:spacing w:line="240" w:lineRule="auto"/>
              <w:ind w:left="121" w:hanging="121"/>
              <w:jc w:val="center"/>
            </w:pPr>
            <w:r w:rsidRPr="00312733">
              <w:rPr>
                <w:noProof/>
                <w:sz w:val="22"/>
                <w:szCs w:val="22"/>
              </w:rPr>
              <w:t>[99]</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Stetson Mountain II (2010)</w:t>
            </w:r>
          </w:p>
        </w:tc>
        <w:tc>
          <w:tcPr>
            <w:tcW w:w="1710" w:type="dxa"/>
            <w:tcBorders>
              <w:left w:val="nil"/>
              <w:bottom w:val="single" w:sz="4" w:space="0" w:color="auto"/>
              <w:right w:val="nil"/>
            </w:tcBorders>
            <w:vAlign w:val="center"/>
          </w:tcPr>
          <w:p w:rsidR="00C206D1" w:rsidRPr="00312733" w:rsidRDefault="00C206D1" w:rsidP="00E206FF">
            <w:pPr>
              <w:spacing w:line="240" w:lineRule="auto"/>
              <w:jc w:val="center"/>
              <w:rPr>
                <w:color w:val="000000"/>
              </w:rPr>
            </w:pPr>
          </w:p>
        </w:tc>
        <w:tc>
          <w:tcPr>
            <w:tcW w:w="2302" w:type="dxa"/>
            <w:tcBorders>
              <w:left w:val="nil"/>
              <w:bottom w:val="single" w:sz="4" w:space="0" w:color="auto"/>
              <w:right w:val="nil"/>
            </w:tcBorders>
            <w:vAlign w:val="center"/>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keepNext/>
              <w:spacing w:line="240" w:lineRule="auto"/>
              <w:ind w:left="121" w:hanging="121"/>
              <w:jc w:val="center"/>
            </w:pPr>
            <w:r w:rsidRPr="00312733">
              <w:rPr>
                <w:noProof/>
                <w:sz w:val="22"/>
                <w:szCs w:val="22"/>
              </w:rPr>
              <w:t>[100]</w:t>
            </w:r>
          </w:p>
        </w:tc>
      </w:tr>
      <w:tr w:rsidR="00C206D1" w:rsidRPr="00312733" w:rsidTr="0081362D">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81362D">
            <w:pPr>
              <w:spacing w:line="240" w:lineRule="auto"/>
              <w:jc w:val="center"/>
              <w:rPr>
                <w:b/>
                <w:color w:val="000000"/>
              </w:rPr>
            </w:pPr>
            <w:r w:rsidRPr="00312733">
              <w:rPr>
                <w:b/>
                <w:color w:val="000000"/>
                <w:sz w:val="22"/>
                <w:szCs w:val="22"/>
              </w:rPr>
              <w:t>Pacific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High Winds (2004)</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50</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pPr>
            <w:r w:rsidRPr="00312733">
              <w:rPr>
                <w:noProof/>
                <w:sz w:val="22"/>
                <w:szCs w:val="22"/>
              </w:rPr>
              <w:t>[101]</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High Winds (2005)</w:t>
            </w:r>
          </w:p>
        </w:tc>
        <w:tc>
          <w:tcPr>
            <w:tcW w:w="1710"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50</w:t>
            </w:r>
          </w:p>
        </w:tc>
        <w:tc>
          <w:tcPr>
            <w:tcW w:w="2302" w:type="dxa"/>
            <w:tcBorders>
              <w:left w:val="nil"/>
              <w:bottom w:val="single" w:sz="4" w:space="0" w:color="auto"/>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pPr>
            <w:r w:rsidRPr="00312733">
              <w:rPr>
                <w:noProof/>
                <w:sz w:val="22"/>
                <w:szCs w:val="22"/>
              </w:rPr>
              <w:t>[101]</w:t>
            </w:r>
          </w:p>
        </w:tc>
      </w:tr>
      <w:tr w:rsidR="00C206D1" w:rsidRPr="00312733" w:rsidTr="0081362D">
        <w:trPr>
          <w:cantSplit/>
          <w:trHeight w:val="20"/>
        </w:trPr>
        <w:tc>
          <w:tcPr>
            <w:tcW w:w="9251" w:type="dxa"/>
            <w:gridSpan w:val="4"/>
            <w:tcBorders>
              <w:top w:val="single" w:sz="4" w:space="0" w:color="auto"/>
              <w:left w:val="nil"/>
              <w:bottom w:val="single" w:sz="4" w:space="0" w:color="auto"/>
              <w:right w:val="nil"/>
            </w:tcBorders>
            <w:vAlign w:val="center"/>
            <w:hideMark/>
          </w:tcPr>
          <w:p w:rsidR="00C206D1" w:rsidRPr="00312733" w:rsidRDefault="00C206D1" w:rsidP="0081362D">
            <w:pPr>
              <w:keepNext/>
              <w:spacing w:line="240" w:lineRule="auto"/>
              <w:jc w:val="center"/>
              <w:rPr>
                <w:b/>
                <w:color w:val="000000"/>
              </w:rPr>
            </w:pPr>
            <w:r w:rsidRPr="00312733">
              <w:rPr>
                <w:b/>
                <w:color w:val="000000"/>
                <w:sz w:val="22"/>
                <w:szCs w:val="22"/>
              </w:rPr>
              <w:t>Prairie Biome</w:t>
            </w:r>
          </w:p>
        </w:tc>
      </w:tr>
      <w:tr w:rsidR="00C206D1" w:rsidRPr="00312733" w:rsidTr="000A2834">
        <w:trPr>
          <w:cantSplit/>
          <w:trHeight w:val="20"/>
        </w:trPr>
        <w:tc>
          <w:tcPr>
            <w:tcW w:w="4140" w:type="dxa"/>
            <w:tcBorders>
              <w:top w:val="single" w:sz="4" w:space="0" w:color="auto"/>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Barton I and II</w:t>
            </w:r>
          </w:p>
        </w:tc>
        <w:tc>
          <w:tcPr>
            <w:tcW w:w="1710"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73.1</w:t>
            </w:r>
          </w:p>
        </w:tc>
        <w:tc>
          <w:tcPr>
            <w:tcW w:w="2302" w:type="dxa"/>
            <w:tcBorders>
              <w:top w:val="single" w:sz="4" w:space="0" w:color="auto"/>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5.96</w:t>
            </w:r>
          </w:p>
        </w:tc>
        <w:tc>
          <w:tcPr>
            <w:tcW w:w="1099" w:type="dxa"/>
            <w:tcBorders>
              <w:top w:val="single" w:sz="4" w:space="0" w:color="auto"/>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[102]</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Kewaunee County</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72.0</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[103]</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Moraine II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68.8</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7.10</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[104]</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Pioneer Prairie I (Phase II)</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86.6</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3.8</w:t>
            </w:r>
          </w:p>
        </w:tc>
        <w:tc>
          <w:tcPr>
            <w:tcW w:w="1099" w:type="dxa"/>
            <w:tcBorders>
              <w:left w:val="nil"/>
              <w:right w:val="nil"/>
            </w:tcBorders>
            <w:vAlign w:val="center"/>
            <w:hideMark/>
          </w:tcPr>
          <w:p w:rsidR="00C206D1" w:rsidRPr="00312733" w:rsidRDefault="00C206D1" w:rsidP="000A2834">
            <w:pPr>
              <w:spacing w:line="240" w:lineRule="auto"/>
              <w:jc w:val="center"/>
              <w:rPr>
                <w:color w:val="000000"/>
              </w:rPr>
            </w:pPr>
            <w:r w:rsidRPr="00312733">
              <w:rPr>
                <w:noProof/>
                <w:sz w:val="22"/>
                <w:szCs w:val="22"/>
              </w:rPr>
              <w:t>[105]</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 xml:space="preserve">Prairie Winds ND1/Minot (2010) </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64.3</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[106]</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keepNext/>
              <w:spacing w:line="240" w:lineRule="auto"/>
              <w:rPr>
                <w:color w:val="000000"/>
              </w:rPr>
            </w:pPr>
            <w:r w:rsidRPr="00312733">
              <w:rPr>
                <w:color w:val="000000"/>
                <w:sz w:val="22"/>
                <w:szCs w:val="22"/>
              </w:rPr>
              <w:t>Prairie Winds ND1/Minot (2011)</w:t>
            </w:r>
          </w:p>
        </w:tc>
        <w:tc>
          <w:tcPr>
            <w:tcW w:w="1710"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25.8</w:t>
            </w:r>
          </w:p>
        </w:tc>
        <w:tc>
          <w:tcPr>
            <w:tcW w:w="2302" w:type="dxa"/>
            <w:tcBorders>
              <w:left w:val="nil"/>
              <w:right w:val="nil"/>
            </w:tcBorders>
            <w:vAlign w:val="center"/>
            <w:hideMark/>
          </w:tcPr>
          <w:p w:rsidR="00C206D1" w:rsidRPr="00312733" w:rsidRDefault="00C206D1" w:rsidP="00E206FF">
            <w:pPr>
              <w:spacing w:line="240" w:lineRule="auto"/>
              <w:jc w:val="center"/>
              <w:rPr>
                <w:color w:val="000000"/>
              </w:rPr>
            </w:pPr>
            <w:r w:rsidRPr="00312733">
              <w:rPr>
                <w:color w:val="000000"/>
                <w:sz w:val="22"/>
                <w:szCs w:val="22"/>
              </w:rPr>
              <w:t>19.08</w:t>
            </w: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[107]</w:t>
            </w:r>
          </w:p>
        </w:tc>
      </w:tr>
      <w:tr w:rsidR="00C206D1" w:rsidRPr="00312733" w:rsidTr="000A2834">
        <w:trPr>
          <w:cantSplit/>
          <w:trHeight w:val="20"/>
        </w:trPr>
        <w:tc>
          <w:tcPr>
            <w:tcW w:w="4140" w:type="dxa"/>
            <w:tcBorders>
              <w:left w:val="nil"/>
              <w:right w:val="nil"/>
            </w:tcBorders>
            <w:vAlign w:val="bottom"/>
            <w:hideMark/>
          </w:tcPr>
          <w:p w:rsidR="00C206D1" w:rsidRPr="00312733" w:rsidRDefault="00C206D1" w:rsidP="00E206FF">
            <w:pPr>
              <w:spacing w:line="240" w:lineRule="auto"/>
              <w:rPr>
                <w:color w:val="000000"/>
              </w:rPr>
            </w:pPr>
            <w:r w:rsidRPr="00312733">
              <w:rPr>
                <w:color w:val="000000"/>
                <w:sz w:val="22"/>
                <w:szCs w:val="22"/>
              </w:rPr>
              <w:t>Top of Iowa (2003)</w:t>
            </w:r>
          </w:p>
        </w:tc>
        <w:tc>
          <w:tcPr>
            <w:tcW w:w="1710" w:type="dxa"/>
            <w:tcBorders>
              <w:left w:val="nil"/>
              <w:right w:val="nil"/>
            </w:tcBorders>
            <w:vAlign w:val="center"/>
          </w:tcPr>
          <w:p w:rsidR="00C206D1" w:rsidRPr="00312733" w:rsidRDefault="00C206D1" w:rsidP="00E206FF">
            <w:pPr>
              <w:spacing w:line="240" w:lineRule="auto"/>
              <w:jc w:val="center"/>
              <w:rPr>
                <w:color w:val="000000"/>
              </w:rPr>
            </w:pPr>
          </w:p>
        </w:tc>
        <w:tc>
          <w:tcPr>
            <w:tcW w:w="2302" w:type="dxa"/>
            <w:tcBorders>
              <w:left w:val="nil"/>
              <w:right w:val="nil"/>
            </w:tcBorders>
            <w:vAlign w:val="center"/>
          </w:tcPr>
          <w:p w:rsidR="00C206D1" w:rsidRPr="00312733" w:rsidRDefault="00C206D1" w:rsidP="00E206FF">
            <w:pPr>
              <w:spacing w:line="240" w:lineRule="auto"/>
              <w:jc w:val="center"/>
              <w:rPr>
                <w:color w:val="000000"/>
              </w:rPr>
            </w:pPr>
          </w:p>
        </w:tc>
        <w:tc>
          <w:tcPr>
            <w:tcW w:w="1099" w:type="dxa"/>
            <w:tcBorders>
              <w:left w:val="nil"/>
              <w:right w:val="nil"/>
            </w:tcBorders>
            <w:vAlign w:val="center"/>
            <w:hideMark/>
          </w:tcPr>
          <w:p w:rsidR="00C206D1" w:rsidRPr="00312733" w:rsidRDefault="00C206D1" w:rsidP="000A2834">
            <w:pPr>
              <w:spacing w:line="240" w:lineRule="auto"/>
              <w:jc w:val="center"/>
            </w:pPr>
            <w:r w:rsidRPr="00312733">
              <w:rPr>
                <w:noProof/>
                <w:sz w:val="22"/>
                <w:szCs w:val="22"/>
              </w:rPr>
              <w:t>[108]</w:t>
            </w:r>
          </w:p>
        </w:tc>
      </w:tr>
      <w:tr w:rsidR="00C206D1" w:rsidRPr="00312733" w:rsidTr="000A2834">
        <w:trPr>
          <w:cantSplit/>
          <w:trHeight w:val="20"/>
        </w:trPr>
        <w:tc>
          <w:tcPr>
            <w:tcW w:w="4140" w:type="dxa"/>
            <w:tcBorders>
              <w:left w:val="nil"/>
              <w:bottom w:val="single" w:sz="4" w:space="0" w:color="auto"/>
              <w:right w:val="nil"/>
            </w:tcBorders>
            <w:vAlign w:val="bottom"/>
            <w:hideMark/>
          </w:tcPr>
          <w:p w:rsidR="00C206D1" w:rsidRPr="00312733" w:rsidRDefault="00C206D1" w:rsidP="00E206FF">
            <w:pPr>
              <w:spacing w:line="240" w:lineRule="auto"/>
              <w:rPr>
                <w:color w:val="000000"/>
              </w:rPr>
            </w:pPr>
            <w:r w:rsidRPr="00312733">
              <w:rPr>
                <w:color w:val="000000"/>
                <w:sz w:val="22"/>
                <w:szCs w:val="22"/>
              </w:rPr>
              <w:t>Top of Iowa (2004</w:t>
            </w:r>
          </w:p>
        </w:tc>
        <w:tc>
          <w:tcPr>
            <w:tcW w:w="1710" w:type="dxa"/>
            <w:tcBorders>
              <w:left w:val="nil"/>
              <w:bottom w:val="single" w:sz="4" w:space="0" w:color="auto"/>
              <w:right w:val="nil"/>
            </w:tcBorders>
            <w:vAlign w:val="center"/>
          </w:tcPr>
          <w:p w:rsidR="00C206D1" w:rsidRPr="00312733" w:rsidRDefault="00C206D1" w:rsidP="00E206FF">
            <w:pPr>
              <w:spacing w:line="240" w:lineRule="auto"/>
              <w:jc w:val="center"/>
              <w:rPr>
                <w:color w:val="000000"/>
              </w:rPr>
            </w:pPr>
          </w:p>
        </w:tc>
        <w:tc>
          <w:tcPr>
            <w:tcW w:w="2302" w:type="dxa"/>
            <w:tcBorders>
              <w:left w:val="nil"/>
              <w:bottom w:val="single" w:sz="4" w:space="0" w:color="auto"/>
              <w:right w:val="nil"/>
            </w:tcBorders>
            <w:vAlign w:val="center"/>
          </w:tcPr>
          <w:p w:rsidR="00C206D1" w:rsidRPr="00312733" w:rsidRDefault="00C206D1" w:rsidP="00E206FF">
            <w:pPr>
              <w:spacing w:line="240" w:lineRule="auto"/>
              <w:jc w:val="center"/>
              <w:rPr>
                <w:color w:val="000000"/>
              </w:rPr>
            </w:pPr>
          </w:p>
        </w:tc>
        <w:tc>
          <w:tcPr>
            <w:tcW w:w="1099" w:type="dxa"/>
            <w:tcBorders>
              <w:left w:val="nil"/>
              <w:bottom w:val="single" w:sz="4" w:space="0" w:color="auto"/>
              <w:right w:val="nil"/>
            </w:tcBorders>
            <w:vAlign w:val="center"/>
            <w:hideMark/>
          </w:tcPr>
          <w:p w:rsidR="00C206D1" w:rsidRPr="00312733" w:rsidRDefault="00C206D1" w:rsidP="000A2834">
            <w:pPr>
              <w:spacing w:line="240" w:lineRule="auto"/>
              <w:jc w:val="center"/>
            </w:pPr>
            <w:r w:rsidRPr="00312733">
              <w:rPr>
                <w:noProof/>
                <w:sz w:val="22"/>
                <w:szCs w:val="22"/>
              </w:rPr>
              <w:t>[108]</w:t>
            </w:r>
          </w:p>
        </w:tc>
      </w:tr>
      <w:tr w:rsidR="00C206D1" w:rsidRPr="00312733" w:rsidTr="00E206FF">
        <w:trPr>
          <w:cantSplit/>
          <w:trHeight w:val="20"/>
        </w:trPr>
        <w:tc>
          <w:tcPr>
            <w:tcW w:w="9251" w:type="dxa"/>
            <w:gridSpan w:val="4"/>
            <w:tcBorders>
              <w:top w:val="single" w:sz="4" w:space="0" w:color="auto"/>
              <w:left w:val="nil"/>
              <w:bottom w:val="nil"/>
              <w:right w:val="nil"/>
            </w:tcBorders>
            <w:vAlign w:val="bottom"/>
            <w:hideMark/>
          </w:tcPr>
          <w:p w:rsidR="00C206D1" w:rsidRPr="002A5CD6" w:rsidRDefault="00C206D1" w:rsidP="00E206FF">
            <w:pPr>
              <w:spacing w:line="240" w:lineRule="auto"/>
              <w:ind w:left="276" w:hanging="276"/>
              <w:rPr>
                <w:sz w:val="20"/>
              </w:rPr>
            </w:pPr>
            <w:r w:rsidRPr="00312733">
              <w:rPr>
                <w:sz w:val="20"/>
                <w:szCs w:val="22"/>
                <w:vertAlign w:val="superscript"/>
              </w:rPr>
              <w:lastRenderedPageBreak/>
              <w:t>a</w:t>
            </w:r>
            <w:r w:rsidRPr="00312733">
              <w:rPr>
                <w:sz w:val="20"/>
                <w:szCs w:val="22"/>
              </w:rPr>
              <w:t xml:space="preserve"> </w:t>
            </w:r>
            <w:r w:rsidRPr="002A5CD6">
              <w:rPr>
                <w:sz w:val="20"/>
                <w:szCs w:val="22"/>
              </w:rPr>
              <w:t>searcher efficiency numbers and carcass removal trial numbers are a combination of all years and phases</w:t>
            </w:r>
          </w:p>
          <w:p w:rsidR="00C206D1" w:rsidRPr="00372136" w:rsidRDefault="00C206D1" w:rsidP="00E206FF">
            <w:pPr>
              <w:spacing w:line="240" w:lineRule="auto"/>
              <w:ind w:left="276" w:hanging="276"/>
              <w:rPr>
                <w:sz w:val="20"/>
                <w:szCs w:val="20"/>
              </w:rPr>
            </w:pPr>
            <w:r w:rsidRPr="00312733">
              <w:rPr>
                <w:sz w:val="20"/>
                <w:szCs w:val="22"/>
                <w:vertAlign w:val="superscript"/>
              </w:rPr>
              <w:t>b</w:t>
            </w:r>
            <w:r w:rsidRPr="00312733">
              <w:rPr>
                <w:sz w:val="20"/>
                <w:szCs w:val="22"/>
              </w:rPr>
              <w:t xml:space="preserve"> </w:t>
            </w:r>
            <w:r w:rsidRPr="002A5CD6">
              <w:rPr>
                <w:sz w:val="20"/>
                <w:szCs w:val="20"/>
              </w:rPr>
              <w:t xml:space="preserve">this is based on the number of carcasses placed in 1999 and 2000 combined and efficiency rate for all years and </w:t>
            </w:r>
            <w:r w:rsidRPr="00372136">
              <w:rPr>
                <w:sz w:val="20"/>
                <w:szCs w:val="20"/>
              </w:rPr>
              <w:t xml:space="preserve">phases combined; </w:t>
            </w:r>
          </w:p>
          <w:p w:rsidR="00C206D1" w:rsidRPr="00312733" w:rsidRDefault="00497AB9" w:rsidP="00E206FF">
            <w:pPr>
              <w:spacing w:line="240" w:lineRule="auto"/>
              <w:ind w:left="276" w:hanging="276"/>
              <w:rPr>
                <w:sz w:val="20"/>
              </w:rPr>
            </w:pPr>
            <w:r w:rsidRPr="00372136">
              <w:rPr>
                <w:sz w:val="20"/>
                <w:szCs w:val="22"/>
                <w:vertAlign w:val="superscript"/>
              </w:rPr>
              <w:t>c</w:t>
            </w:r>
            <w:r w:rsidRPr="00372136">
              <w:rPr>
                <w:sz w:val="20"/>
                <w:szCs w:val="22"/>
              </w:rPr>
              <w:t xml:space="preserve"> </w:t>
            </w:r>
            <w:r w:rsidRPr="00372136">
              <w:rPr>
                <w:sz w:val="20"/>
                <w:szCs w:val="20"/>
              </w:rPr>
              <w:t>this</w:t>
            </w:r>
            <w:r w:rsidRPr="00372136">
              <w:rPr>
                <w:sz w:val="20"/>
                <w:szCs w:val="22"/>
              </w:rPr>
              <w:t xml:space="preserve"> </w:t>
            </w:r>
            <w:r w:rsidRPr="00372136">
              <w:rPr>
                <w:sz w:val="20"/>
                <w:szCs w:val="20"/>
              </w:rPr>
              <w:t>is the number of carcasses placed in 1999 and 2000 combined</w:t>
            </w:r>
          </w:p>
          <w:p w:rsidR="00C206D1" w:rsidRPr="002A5CD6" w:rsidRDefault="00C206D1" w:rsidP="00E206FF">
            <w:pPr>
              <w:spacing w:line="240" w:lineRule="auto"/>
              <w:ind w:left="276" w:hanging="276"/>
              <w:rPr>
                <w:sz w:val="20"/>
                <w:szCs w:val="20"/>
              </w:rPr>
            </w:pPr>
            <w:r w:rsidRPr="001409D1">
              <w:rPr>
                <w:sz w:val="18"/>
                <w:szCs w:val="18"/>
                <w:vertAlign w:val="superscript"/>
              </w:rPr>
              <w:t>d</w:t>
            </w:r>
            <w:r w:rsidRPr="00312733">
              <w:rPr>
                <w:sz w:val="20"/>
                <w:szCs w:val="22"/>
              </w:rPr>
              <w:t xml:space="preserve"> </w:t>
            </w:r>
            <w:r w:rsidRPr="002A5CD6">
              <w:rPr>
                <w:sz w:val="20"/>
                <w:szCs w:val="20"/>
              </w:rPr>
              <w:t>mean</w:t>
            </w:r>
            <w:r w:rsidRPr="00312733">
              <w:rPr>
                <w:sz w:val="20"/>
                <w:szCs w:val="22"/>
              </w:rPr>
              <w:t xml:space="preserve"> </w:t>
            </w:r>
            <w:r w:rsidRPr="002A5CD6">
              <w:rPr>
                <w:sz w:val="20"/>
                <w:szCs w:val="20"/>
              </w:rPr>
              <w:t>removal times are listed as spring, summer, fall, winter and total</w:t>
            </w:r>
          </w:p>
          <w:p w:rsidR="00C206D1" w:rsidRPr="002A5CD6" w:rsidRDefault="00C206D1" w:rsidP="00E206FF">
            <w:pPr>
              <w:spacing w:line="240" w:lineRule="auto"/>
              <w:ind w:left="276" w:hanging="276"/>
              <w:rPr>
                <w:sz w:val="20"/>
                <w:szCs w:val="20"/>
              </w:rPr>
            </w:pPr>
            <w:r w:rsidRPr="00312733">
              <w:rPr>
                <w:sz w:val="20"/>
                <w:szCs w:val="22"/>
                <w:vertAlign w:val="superscript"/>
              </w:rPr>
              <w:t>e</w:t>
            </w:r>
            <w:r w:rsidRPr="00312733">
              <w:rPr>
                <w:sz w:val="20"/>
                <w:szCs w:val="22"/>
              </w:rPr>
              <w:t xml:space="preserve"> </w:t>
            </w:r>
            <w:r w:rsidRPr="002A5CD6">
              <w:rPr>
                <w:sz w:val="20"/>
                <w:szCs w:val="20"/>
              </w:rPr>
              <w:t xml:space="preserve">total number of carcass placed from 2007-2009 </w:t>
            </w:r>
          </w:p>
          <w:p w:rsidR="00C206D1" w:rsidRPr="00EB2DD4" w:rsidRDefault="00C206D1" w:rsidP="00E206FF">
            <w:pPr>
              <w:spacing w:line="240" w:lineRule="auto"/>
              <w:ind w:left="276" w:hanging="276"/>
              <w:rPr>
                <w:sz w:val="18"/>
                <w:szCs w:val="18"/>
              </w:rPr>
            </w:pPr>
            <w:r w:rsidRPr="00EB2DD4">
              <w:rPr>
                <w:sz w:val="18"/>
                <w:szCs w:val="18"/>
                <w:vertAlign w:val="superscript"/>
              </w:rPr>
              <w:t>f</w:t>
            </w:r>
            <w:r w:rsidRPr="00EB2DD4">
              <w:rPr>
                <w:sz w:val="18"/>
                <w:szCs w:val="18"/>
              </w:rPr>
              <w:t xml:space="preserve"> </w:t>
            </w:r>
            <w:r w:rsidRPr="002A5CD6">
              <w:rPr>
                <w:sz w:val="20"/>
                <w:szCs w:val="20"/>
              </w:rPr>
              <w:t>total number of carcass placed from 2008-2010</w:t>
            </w:r>
            <w:r w:rsidRPr="00EB2DD4">
              <w:rPr>
                <w:sz w:val="18"/>
                <w:szCs w:val="18"/>
              </w:rPr>
              <w:t xml:space="preserve"> </w:t>
            </w:r>
          </w:p>
          <w:p w:rsidR="00C206D1" w:rsidRPr="00EB2DD4" w:rsidRDefault="00C206D1" w:rsidP="00E206FF">
            <w:pPr>
              <w:spacing w:line="240" w:lineRule="auto"/>
              <w:ind w:left="276" w:hanging="276"/>
              <w:rPr>
                <w:sz w:val="18"/>
                <w:szCs w:val="18"/>
                <w:vertAlign w:val="superscript"/>
              </w:rPr>
            </w:pPr>
            <w:r w:rsidRPr="00EB2DD4">
              <w:rPr>
                <w:sz w:val="18"/>
                <w:szCs w:val="18"/>
                <w:vertAlign w:val="superscript"/>
              </w:rPr>
              <w:t xml:space="preserve">g </w:t>
            </w:r>
            <w:r w:rsidRPr="002A5CD6">
              <w:rPr>
                <w:sz w:val="20"/>
                <w:szCs w:val="20"/>
              </w:rPr>
              <w:t>efficiency</w:t>
            </w:r>
            <w:r w:rsidRPr="00EB2DD4">
              <w:rPr>
                <w:sz w:val="18"/>
                <w:szCs w:val="18"/>
              </w:rPr>
              <w:t xml:space="preserve"> </w:t>
            </w:r>
            <w:r w:rsidRPr="002A5CD6">
              <w:rPr>
                <w:sz w:val="20"/>
                <w:szCs w:val="20"/>
              </w:rPr>
              <w:t>rates are listed as spring, summer, fall, and winter 2008-2009 and spring, summer, fall and winter 2009-2010</w:t>
            </w:r>
          </w:p>
          <w:p w:rsidR="00C206D1" w:rsidRPr="002A5CD6" w:rsidRDefault="00C206D1" w:rsidP="00E206FF">
            <w:pPr>
              <w:spacing w:line="240" w:lineRule="auto"/>
              <w:ind w:left="276" w:hanging="276"/>
              <w:rPr>
                <w:sz w:val="20"/>
                <w:szCs w:val="20"/>
              </w:rPr>
            </w:pPr>
            <w:r w:rsidRPr="00EB2DD4">
              <w:rPr>
                <w:sz w:val="18"/>
                <w:szCs w:val="18"/>
                <w:vertAlign w:val="superscript"/>
              </w:rPr>
              <w:t>h</w:t>
            </w:r>
            <w:r w:rsidRPr="00312733">
              <w:rPr>
                <w:sz w:val="20"/>
                <w:szCs w:val="22"/>
              </w:rPr>
              <w:t xml:space="preserve"> </w:t>
            </w:r>
            <w:r w:rsidRPr="002A5CD6">
              <w:rPr>
                <w:sz w:val="20"/>
                <w:szCs w:val="20"/>
              </w:rPr>
              <w:t xml:space="preserve">mean removal times are listed as spring, summer, fall, and winter 2007-2008 and spring, summer, fall and winter 2008-2009 </w:t>
            </w:r>
          </w:p>
          <w:p w:rsidR="00C206D1" w:rsidRPr="00312733" w:rsidRDefault="00C206D1" w:rsidP="00E206FF">
            <w:pPr>
              <w:spacing w:line="240" w:lineRule="auto"/>
              <w:ind w:left="276" w:hanging="276"/>
              <w:rPr>
                <w:sz w:val="20"/>
              </w:rPr>
            </w:pPr>
            <w:r w:rsidRPr="00312733">
              <w:rPr>
                <w:sz w:val="20"/>
                <w:szCs w:val="22"/>
                <w:vertAlign w:val="superscript"/>
              </w:rPr>
              <w:t>g</w:t>
            </w:r>
            <w:r w:rsidRPr="00312733">
              <w:rPr>
                <w:sz w:val="20"/>
                <w:szCs w:val="22"/>
              </w:rPr>
              <w:t xml:space="preserve"> </w:t>
            </w:r>
            <w:r w:rsidRPr="002A5CD6">
              <w:rPr>
                <w:sz w:val="20"/>
                <w:szCs w:val="20"/>
              </w:rPr>
              <w:t>is</w:t>
            </w:r>
            <w:r w:rsidRPr="00312733">
              <w:rPr>
                <w:sz w:val="20"/>
                <w:szCs w:val="22"/>
              </w:rPr>
              <w:t xml:space="preserve"> </w:t>
            </w:r>
            <w:r w:rsidRPr="002A5CD6">
              <w:rPr>
                <w:sz w:val="20"/>
                <w:szCs w:val="20"/>
              </w:rPr>
              <w:t>the total number of carcass placed from 2008-2010</w:t>
            </w:r>
            <w:r w:rsidRPr="00312733">
              <w:rPr>
                <w:sz w:val="20"/>
                <w:szCs w:val="22"/>
              </w:rPr>
              <w:t xml:space="preserve"> </w:t>
            </w:r>
          </w:p>
          <w:p w:rsidR="00C206D1" w:rsidRPr="002A5CD6" w:rsidRDefault="00C206D1" w:rsidP="00E206FF">
            <w:pPr>
              <w:spacing w:line="240" w:lineRule="auto"/>
              <w:ind w:left="276" w:hanging="276"/>
              <w:rPr>
                <w:sz w:val="20"/>
                <w:szCs w:val="20"/>
              </w:rPr>
            </w:pPr>
            <w:r w:rsidRPr="00312733">
              <w:rPr>
                <w:sz w:val="20"/>
                <w:szCs w:val="22"/>
                <w:vertAlign w:val="superscript"/>
              </w:rPr>
              <w:t>h</w:t>
            </w:r>
            <w:r w:rsidRPr="00312733">
              <w:rPr>
                <w:sz w:val="20"/>
                <w:szCs w:val="22"/>
              </w:rPr>
              <w:t xml:space="preserve"> </w:t>
            </w:r>
            <w:r w:rsidRPr="002A5CD6">
              <w:rPr>
                <w:sz w:val="20"/>
                <w:szCs w:val="20"/>
              </w:rPr>
              <w:t xml:space="preserve">mean removal times are listed as spring, summer, fall, and winter 2008-2009 and spring, summer, fall and winter 2009-2010 </w:t>
            </w:r>
          </w:p>
          <w:p w:rsidR="00C206D1" w:rsidRPr="00312733" w:rsidRDefault="00C206D1" w:rsidP="00E206FF">
            <w:pPr>
              <w:spacing w:line="240" w:lineRule="auto"/>
              <w:ind w:left="276" w:hanging="276"/>
              <w:rPr>
                <w:sz w:val="20"/>
              </w:rPr>
            </w:pPr>
            <w:r w:rsidRPr="00312733">
              <w:rPr>
                <w:sz w:val="20"/>
                <w:szCs w:val="22"/>
                <w:vertAlign w:val="superscript"/>
              </w:rPr>
              <w:t>i</w:t>
            </w:r>
            <w:r w:rsidRPr="00312733">
              <w:rPr>
                <w:sz w:val="20"/>
                <w:szCs w:val="22"/>
              </w:rPr>
              <w:t xml:space="preserve"> </w:t>
            </w:r>
            <w:r w:rsidRPr="002A5CD6">
              <w:rPr>
                <w:sz w:val="20"/>
                <w:szCs w:val="20"/>
              </w:rPr>
              <w:t>total</w:t>
            </w:r>
            <w:r w:rsidRPr="00312733">
              <w:rPr>
                <w:sz w:val="20"/>
                <w:szCs w:val="22"/>
              </w:rPr>
              <w:t xml:space="preserve"> </w:t>
            </w:r>
            <w:r w:rsidRPr="002A5CD6">
              <w:rPr>
                <w:sz w:val="20"/>
                <w:szCs w:val="20"/>
              </w:rPr>
              <w:t>number of carcasses placed in 2002 and 2003 combined</w:t>
            </w:r>
          </w:p>
          <w:p w:rsidR="00C206D1" w:rsidRPr="001409D1" w:rsidRDefault="00C206D1" w:rsidP="00E206FF">
            <w:pPr>
              <w:spacing w:line="240" w:lineRule="auto"/>
              <w:rPr>
                <w:sz w:val="18"/>
                <w:szCs w:val="18"/>
              </w:rPr>
            </w:pPr>
            <w:r w:rsidRPr="00312733">
              <w:rPr>
                <w:sz w:val="20"/>
                <w:szCs w:val="22"/>
                <w:vertAlign w:val="superscript"/>
              </w:rPr>
              <w:t>j</w:t>
            </w:r>
            <w:r w:rsidRPr="00312733">
              <w:rPr>
                <w:sz w:val="20"/>
                <w:szCs w:val="22"/>
              </w:rPr>
              <w:t xml:space="preserve"> </w:t>
            </w:r>
            <w:r w:rsidRPr="002A5CD6">
              <w:rPr>
                <w:sz w:val="20"/>
                <w:szCs w:val="20"/>
              </w:rPr>
              <w:t>is</w:t>
            </w:r>
            <w:r w:rsidRPr="001409D1">
              <w:rPr>
                <w:sz w:val="18"/>
                <w:szCs w:val="18"/>
              </w:rPr>
              <w:t xml:space="preserve"> </w:t>
            </w:r>
            <w:r w:rsidRPr="002A5CD6">
              <w:rPr>
                <w:sz w:val="20"/>
                <w:szCs w:val="20"/>
              </w:rPr>
              <w:t>the total number of carcass placed from 2008-2010</w:t>
            </w:r>
            <w:r w:rsidRPr="001409D1">
              <w:rPr>
                <w:sz w:val="18"/>
                <w:szCs w:val="18"/>
              </w:rPr>
              <w:t xml:space="preserve"> </w:t>
            </w:r>
          </w:p>
          <w:p w:rsidR="00C206D1" w:rsidRPr="002A5CD6" w:rsidRDefault="00C206D1" w:rsidP="00E206FF">
            <w:pPr>
              <w:spacing w:line="240" w:lineRule="auto"/>
              <w:ind w:left="276" w:hanging="276"/>
              <w:rPr>
                <w:sz w:val="20"/>
                <w:szCs w:val="20"/>
              </w:rPr>
            </w:pPr>
            <w:proofErr w:type="gramStart"/>
            <w:r w:rsidRPr="00EB2DD4">
              <w:rPr>
                <w:sz w:val="18"/>
                <w:szCs w:val="18"/>
                <w:vertAlign w:val="superscript"/>
              </w:rPr>
              <w:t>k</w:t>
            </w:r>
            <w:proofErr w:type="gramEnd"/>
            <w:r w:rsidRPr="00312733">
              <w:rPr>
                <w:sz w:val="20"/>
                <w:szCs w:val="22"/>
              </w:rPr>
              <w:t xml:space="preserve"> </w:t>
            </w:r>
            <w:r w:rsidRPr="002A5CD6">
              <w:rPr>
                <w:sz w:val="20"/>
                <w:szCs w:val="20"/>
              </w:rPr>
              <w:t>searcher efficiency trails were not conducted in 2006. Searcher efficiency rates are from Erickson et al. 2004 were used in the 2006 study</w:t>
            </w:r>
          </w:p>
          <w:p w:rsidR="00C206D1" w:rsidRDefault="00C206D1" w:rsidP="00E206FF">
            <w:pPr>
              <w:spacing w:line="240" w:lineRule="auto"/>
              <w:ind w:left="276" w:hanging="276"/>
              <w:rPr>
                <w:sz w:val="18"/>
              </w:rPr>
            </w:pPr>
            <w:r w:rsidRPr="00EB2DD4">
              <w:rPr>
                <w:sz w:val="18"/>
                <w:szCs w:val="18"/>
                <w:vertAlign w:val="superscript"/>
              </w:rPr>
              <w:t>l</w:t>
            </w:r>
            <w:r w:rsidRPr="001409D1">
              <w:rPr>
                <w:sz w:val="18"/>
                <w:szCs w:val="18"/>
              </w:rPr>
              <w:t xml:space="preserve"> </w:t>
            </w:r>
            <w:r w:rsidRPr="002A5CD6">
              <w:rPr>
                <w:sz w:val="20"/>
                <w:szCs w:val="20"/>
              </w:rPr>
              <w:t>mean</w:t>
            </w:r>
            <w:r w:rsidRPr="001409D1">
              <w:rPr>
                <w:sz w:val="18"/>
                <w:szCs w:val="18"/>
              </w:rPr>
              <w:t xml:space="preserve"> </w:t>
            </w:r>
            <w:r w:rsidRPr="002A5CD6">
              <w:rPr>
                <w:sz w:val="20"/>
                <w:szCs w:val="20"/>
              </w:rPr>
              <w:t>removal times are listed as spring, summer, fall, and winter 2008-2009 and spring, summer, fall and winter 2009-2010</w:t>
            </w:r>
            <w:r w:rsidRPr="001409D1">
              <w:rPr>
                <w:sz w:val="18"/>
                <w:szCs w:val="22"/>
              </w:rPr>
              <w:t xml:space="preserve"> </w:t>
            </w:r>
          </w:p>
          <w:p w:rsidR="003019F0" w:rsidRPr="003019F0" w:rsidRDefault="003019F0" w:rsidP="002F1480">
            <w:pPr>
              <w:spacing w:line="240" w:lineRule="auto"/>
            </w:pPr>
            <w:proofErr w:type="gramStart"/>
            <w:r w:rsidRPr="003019F0">
              <w:rPr>
                <w:rFonts w:eastAsia="Calibri"/>
                <w:sz w:val="18"/>
                <w:szCs w:val="20"/>
                <w:vertAlign w:val="superscript"/>
              </w:rPr>
              <w:t>m</w:t>
            </w:r>
            <w:proofErr w:type="gramEnd"/>
            <w:r w:rsidRPr="003019F0">
              <w:rPr>
                <w:rFonts w:eastAsia="Calibri"/>
                <w:sz w:val="18"/>
                <w:szCs w:val="20"/>
              </w:rPr>
              <w:t xml:space="preserve"> The Dillon Project was the only project in the Southwestern Biome represented by a</w:t>
            </w:r>
            <w:r w:rsidR="002F1480">
              <w:rPr>
                <w:rFonts w:eastAsia="Calibri"/>
                <w:sz w:val="18"/>
                <w:szCs w:val="20"/>
              </w:rPr>
              <w:t>n</w:t>
            </w:r>
            <w:r w:rsidRPr="003019F0">
              <w:rPr>
                <w:rFonts w:eastAsia="Calibri"/>
                <w:sz w:val="18"/>
                <w:szCs w:val="20"/>
              </w:rPr>
              <w:t xml:space="preserve"> available fatality report. Due to its singularity and since it is located very close to the Pacific Biome; it was combined with the Pacific Biome data.</w:t>
            </w:r>
          </w:p>
        </w:tc>
      </w:tr>
    </w:tbl>
    <w:p w:rsidR="00E206FF" w:rsidRPr="00E206FF" w:rsidRDefault="00E206FF">
      <w:pPr>
        <w:rPr>
          <w:sz w:val="22"/>
        </w:rPr>
      </w:pPr>
    </w:p>
    <w:p w:rsidR="000A2834" w:rsidRPr="000A2834" w:rsidRDefault="000A2834" w:rsidP="000A2834">
      <w:pPr>
        <w:keepNext/>
        <w:spacing w:after="200"/>
        <w:rPr>
          <w:rFonts w:eastAsiaTheme="minorHAnsi"/>
          <w:b/>
          <w:sz w:val="20"/>
          <w:szCs w:val="20"/>
        </w:rPr>
      </w:pPr>
      <w:r w:rsidRPr="000A2834">
        <w:rPr>
          <w:rFonts w:eastAsiaTheme="minorHAnsi"/>
          <w:b/>
          <w:sz w:val="20"/>
          <w:szCs w:val="20"/>
        </w:rPr>
        <w:t>References:</w:t>
      </w:r>
    </w:p>
    <w:p w:rsidR="000A2834" w:rsidRPr="000A2834" w:rsidRDefault="000A2834" w:rsidP="000A2834">
      <w:pPr>
        <w:keepNext/>
        <w:keepLines/>
        <w:spacing w:after="120" w:line="240" w:lineRule="auto"/>
        <w:ind w:left="720" w:hanging="720"/>
        <w:rPr>
          <w:rFonts w:eastAsiaTheme="minorHAnsi"/>
          <w:noProof/>
          <w:sz w:val="20"/>
          <w:szCs w:val="20"/>
        </w:rPr>
      </w:pPr>
      <w:bookmarkStart w:id="0" w:name="_ENREF_1"/>
      <w:r w:rsidRPr="000A2834">
        <w:rPr>
          <w:rFonts w:eastAsiaTheme="minorHAnsi"/>
          <w:noProof/>
          <w:sz w:val="20"/>
          <w:szCs w:val="20"/>
        </w:rPr>
        <w:t xml:space="preserve">1. </w:t>
      </w:r>
      <w:bookmarkEnd w:id="0"/>
      <w:r w:rsidR="00B16BE0" w:rsidRPr="007304E0">
        <w:rPr>
          <w:noProof/>
          <w:sz w:val="20"/>
          <w:szCs w:val="20"/>
        </w:rPr>
        <w:t>Young, D.P. Jr., M. Lout, Z. Courage, S. Nomani, and K. Bay. 2012. 2011 Post-Construction Monitoring Study, Criterion Wind Project, Garrett County, Maryland: April - November 2011.</w:t>
      </w:r>
      <w:r w:rsidR="00B16BE0">
        <w:rPr>
          <w:noProof/>
          <w:sz w:val="20"/>
          <w:szCs w:val="20"/>
        </w:rPr>
        <w:t xml:space="preserve"> Revised November 25, 2013.</w:t>
      </w:r>
    </w:p>
    <w:p w:rsidR="000A2834" w:rsidRPr="000A2834" w:rsidRDefault="000A2834" w:rsidP="000A2834">
      <w:pPr>
        <w:keepNext/>
        <w:keepLines/>
        <w:spacing w:after="120" w:line="240" w:lineRule="auto"/>
        <w:ind w:left="720" w:hanging="720"/>
        <w:rPr>
          <w:rFonts w:eastAsiaTheme="minorHAnsi"/>
          <w:noProof/>
          <w:sz w:val="20"/>
          <w:szCs w:val="20"/>
        </w:rPr>
      </w:pPr>
      <w:bookmarkStart w:id="1" w:name="_ENREF_2"/>
      <w:r w:rsidRPr="000A2834">
        <w:rPr>
          <w:rFonts w:eastAsiaTheme="minorHAnsi"/>
          <w:noProof/>
          <w:sz w:val="20"/>
          <w:szCs w:val="20"/>
        </w:rPr>
        <w:t>2. Young, D.P. Jr., Bay K, Nomani S, Tidhar W (2009) Nedpower Mount Storm Wind Energy Facility, Post-Construction Avian and Bat Monitoring: March - June 2009.</w:t>
      </w:r>
      <w:bookmarkEnd w:id="1"/>
    </w:p>
    <w:p w:rsidR="000A2834" w:rsidRPr="000A2834" w:rsidRDefault="000A2834" w:rsidP="000A2834">
      <w:pPr>
        <w:keepLines/>
        <w:spacing w:after="120" w:line="240" w:lineRule="auto"/>
        <w:ind w:left="720" w:hanging="720"/>
        <w:rPr>
          <w:rFonts w:eastAsiaTheme="minorHAnsi"/>
          <w:noProof/>
          <w:sz w:val="20"/>
          <w:szCs w:val="20"/>
        </w:rPr>
      </w:pPr>
      <w:bookmarkStart w:id="2" w:name="_ENREF_3"/>
      <w:r w:rsidRPr="000A2834">
        <w:rPr>
          <w:rFonts w:eastAsiaTheme="minorHAnsi"/>
          <w:noProof/>
          <w:sz w:val="20"/>
          <w:szCs w:val="20"/>
        </w:rPr>
        <w:t>3. Young, D.P. Jr., Bay K, Nomani S, Tidhar W (2010) Nedpower Mount Storm Wind Energy Facility, Post-Construction Avian and Bat Monitoring: July - October 2009.</w:t>
      </w:r>
      <w:bookmarkEnd w:id="2"/>
    </w:p>
    <w:p w:rsidR="000A2834" w:rsidRPr="000A2834" w:rsidRDefault="000A2834" w:rsidP="000A2834">
      <w:pPr>
        <w:keepLines/>
        <w:spacing w:after="120" w:line="240" w:lineRule="auto"/>
        <w:ind w:left="720" w:hanging="720"/>
        <w:rPr>
          <w:rFonts w:eastAsiaTheme="minorHAnsi"/>
          <w:noProof/>
          <w:sz w:val="20"/>
          <w:szCs w:val="20"/>
        </w:rPr>
      </w:pPr>
      <w:bookmarkStart w:id="3" w:name="_ENREF_4"/>
      <w:r w:rsidRPr="000A2834">
        <w:rPr>
          <w:rFonts w:eastAsiaTheme="minorHAnsi"/>
          <w:noProof/>
          <w:sz w:val="20"/>
          <w:szCs w:val="20"/>
        </w:rPr>
        <w:t>4. Young, D.P. Jr., Bay K, Nomani S, Tidhar W (2010) Nedpower Mount Storm Wind Energy Facility, Post-Construction Avian and Bat Monitoring: April - July 2010.</w:t>
      </w:r>
      <w:bookmarkEnd w:id="3"/>
    </w:p>
    <w:p w:rsidR="000A2834" w:rsidRPr="000A2834" w:rsidRDefault="000A2834" w:rsidP="000A2834">
      <w:pPr>
        <w:keepLines/>
        <w:spacing w:after="120" w:line="240" w:lineRule="auto"/>
        <w:ind w:left="720" w:hanging="720"/>
        <w:rPr>
          <w:rFonts w:eastAsiaTheme="minorHAnsi"/>
          <w:noProof/>
          <w:sz w:val="20"/>
          <w:szCs w:val="20"/>
        </w:rPr>
      </w:pPr>
      <w:bookmarkStart w:id="4" w:name="_ENREF_5"/>
      <w:r w:rsidRPr="000A2834">
        <w:rPr>
          <w:rFonts w:eastAsiaTheme="minorHAnsi"/>
          <w:noProof/>
          <w:sz w:val="20"/>
          <w:szCs w:val="20"/>
        </w:rPr>
        <w:t>5. Young, D.P. Jr., Nomani S, Tidhar W, Bay K (2011) Nedpower Mount Storm Wind Energy Facility, Post-Construction Avian and Bat Monitoring: July - October 2010.</w:t>
      </w:r>
      <w:bookmarkEnd w:id="4"/>
    </w:p>
    <w:p w:rsidR="000A2834" w:rsidRPr="000A2834" w:rsidRDefault="000A2834" w:rsidP="000A2834">
      <w:pPr>
        <w:keepLines/>
        <w:spacing w:after="120" w:line="240" w:lineRule="auto"/>
        <w:ind w:left="720" w:hanging="720"/>
        <w:rPr>
          <w:rFonts w:eastAsiaTheme="minorHAnsi"/>
          <w:noProof/>
          <w:sz w:val="20"/>
          <w:szCs w:val="20"/>
        </w:rPr>
      </w:pPr>
      <w:bookmarkStart w:id="5" w:name="_ENREF_6"/>
      <w:r w:rsidRPr="000A2834">
        <w:rPr>
          <w:rFonts w:eastAsiaTheme="minorHAnsi"/>
          <w:noProof/>
          <w:sz w:val="20"/>
          <w:szCs w:val="20"/>
        </w:rPr>
        <w:t>6. Young, D.P. Jr., Nomani S, Courage Z, Bay K (2011) Nedpower Mount Storm Wind Energy Facility, Post-Construction Avian and Bat Monitoring: April - July 2011.</w:t>
      </w:r>
      <w:bookmarkEnd w:id="5"/>
    </w:p>
    <w:p w:rsidR="000A2834" w:rsidRPr="000A2834" w:rsidRDefault="000A2834" w:rsidP="000A2834">
      <w:pPr>
        <w:keepLines/>
        <w:spacing w:after="120" w:line="240" w:lineRule="auto"/>
        <w:ind w:left="720" w:hanging="720"/>
        <w:rPr>
          <w:rFonts w:eastAsiaTheme="minorHAnsi"/>
          <w:noProof/>
          <w:sz w:val="20"/>
          <w:szCs w:val="20"/>
        </w:rPr>
      </w:pPr>
      <w:bookmarkStart w:id="6" w:name="_ENREF_7"/>
      <w:r w:rsidRPr="000A2834">
        <w:rPr>
          <w:rFonts w:eastAsiaTheme="minorHAnsi"/>
          <w:noProof/>
          <w:sz w:val="20"/>
          <w:szCs w:val="20"/>
        </w:rPr>
        <w:t>7. Young, D.P. Jr., Nomani S, Courage Z, Bay K (2012) Nedpower Mount Storm Wind Energy Facility, Post-Construction Avian and Bat Monitoring: July - October 2011.</w:t>
      </w:r>
      <w:bookmarkEnd w:id="6"/>
    </w:p>
    <w:p w:rsidR="000A2834" w:rsidRPr="000A2834" w:rsidRDefault="000A2834" w:rsidP="000A2834">
      <w:pPr>
        <w:keepLines/>
        <w:spacing w:after="120" w:line="240" w:lineRule="auto"/>
        <w:ind w:left="720" w:hanging="720"/>
        <w:rPr>
          <w:rFonts w:eastAsiaTheme="minorHAnsi"/>
          <w:noProof/>
          <w:sz w:val="20"/>
          <w:szCs w:val="20"/>
        </w:rPr>
      </w:pPr>
      <w:bookmarkStart w:id="7" w:name="_ENREF_8"/>
      <w:r w:rsidRPr="000A2834">
        <w:rPr>
          <w:rFonts w:eastAsiaTheme="minorHAnsi"/>
          <w:noProof/>
          <w:sz w:val="20"/>
          <w:szCs w:val="20"/>
        </w:rPr>
        <w:t>8. Jain A, Kerlinger P, Curry R, Slobodnik L, Quant J, et al. (2009) Annual Report for the Noble Bliss Windpark, LLC, Postconstruction Bird and Bat Fatality Study - 2008.</w:t>
      </w:r>
      <w:bookmarkEnd w:id="7"/>
    </w:p>
    <w:p w:rsidR="000A2834" w:rsidRPr="000A2834" w:rsidRDefault="000A2834" w:rsidP="000A2834">
      <w:pPr>
        <w:keepLines/>
        <w:spacing w:after="120" w:line="240" w:lineRule="auto"/>
        <w:ind w:left="720" w:hanging="720"/>
        <w:rPr>
          <w:rFonts w:eastAsiaTheme="minorHAnsi"/>
          <w:noProof/>
          <w:sz w:val="20"/>
          <w:szCs w:val="20"/>
        </w:rPr>
      </w:pPr>
      <w:bookmarkStart w:id="8" w:name="_ENREF_9"/>
      <w:r w:rsidRPr="000A2834">
        <w:rPr>
          <w:rFonts w:eastAsiaTheme="minorHAnsi"/>
          <w:noProof/>
          <w:sz w:val="20"/>
          <w:szCs w:val="20"/>
        </w:rPr>
        <w:t>9. Jain A, Kerlinger P, Slobodnik L, Curry R, Fuerst A, et al. (2010) Annual Report for the Noble Bliss Windpark, LLC: Postconstruction Bird and Bat Fatality Study - 2009.</w:t>
      </w:r>
      <w:bookmarkEnd w:id="8"/>
    </w:p>
    <w:p w:rsidR="000A2834" w:rsidRPr="000A2834" w:rsidRDefault="000A2834" w:rsidP="000A2834">
      <w:pPr>
        <w:keepLines/>
        <w:spacing w:after="120" w:line="240" w:lineRule="auto"/>
        <w:ind w:left="720" w:hanging="720"/>
        <w:rPr>
          <w:rFonts w:eastAsiaTheme="minorHAnsi"/>
          <w:noProof/>
          <w:sz w:val="20"/>
          <w:szCs w:val="20"/>
        </w:rPr>
      </w:pPr>
      <w:bookmarkStart w:id="9" w:name="_ENREF_10"/>
      <w:r w:rsidRPr="000A2834">
        <w:rPr>
          <w:rFonts w:eastAsiaTheme="minorHAnsi"/>
          <w:noProof/>
          <w:sz w:val="20"/>
          <w:szCs w:val="20"/>
        </w:rPr>
        <w:t>10. Jain A, Kerlinger P, Slobodnik L, Curry R, Harte A (2011) Annual Report for the Noble Wethersfield Windpark, LLC: Postconstruction Bird and Bat Fatality Study - 2010.</w:t>
      </w:r>
      <w:bookmarkEnd w:id="9"/>
    </w:p>
    <w:p w:rsidR="000A2834" w:rsidRPr="000A2834" w:rsidRDefault="000A2834" w:rsidP="000A2834">
      <w:pPr>
        <w:keepLines/>
        <w:spacing w:after="120" w:line="240" w:lineRule="auto"/>
        <w:ind w:left="720" w:hanging="720"/>
        <w:rPr>
          <w:rFonts w:eastAsiaTheme="minorHAnsi"/>
          <w:noProof/>
          <w:sz w:val="20"/>
          <w:szCs w:val="20"/>
        </w:rPr>
      </w:pPr>
      <w:bookmarkStart w:id="10" w:name="_ENREF_11"/>
      <w:r w:rsidRPr="000A2834">
        <w:rPr>
          <w:rFonts w:eastAsiaTheme="minorHAnsi"/>
          <w:noProof/>
          <w:sz w:val="20"/>
          <w:szCs w:val="20"/>
        </w:rPr>
        <w:t>11. Jeffrey JD, Bay K, Erickson WP, Sonneberg M, Baker J, et al. (2009) Portland General Electric Biglow Canyon Wind Farm Phase I Post-Construction Avian and Bat Monitoring First Annual Report, Sherman County, Oregon. January 2008 - December 2008.</w:t>
      </w:r>
      <w:bookmarkEnd w:id="10"/>
    </w:p>
    <w:p w:rsidR="000A2834" w:rsidRPr="000A2834" w:rsidRDefault="000A2834" w:rsidP="000A2834">
      <w:pPr>
        <w:keepLines/>
        <w:spacing w:after="120" w:line="240" w:lineRule="auto"/>
        <w:ind w:left="720" w:hanging="720"/>
        <w:rPr>
          <w:rFonts w:eastAsiaTheme="minorHAnsi"/>
          <w:noProof/>
          <w:sz w:val="20"/>
          <w:szCs w:val="20"/>
        </w:rPr>
      </w:pPr>
      <w:bookmarkStart w:id="11" w:name="_ENREF_12"/>
      <w:r w:rsidRPr="000A2834">
        <w:rPr>
          <w:rFonts w:eastAsiaTheme="minorHAnsi"/>
          <w:noProof/>
          <w:sz w:val="20"/>
          <w:szCs w:val="20"/>
        </w:rPr>
        <w:lastRenderedPageBreak/>
        <w:t>12. Enk T, Bay K, Sonnenberg M, Baker J, Kesterke M, et al. (2010) Biglow Canyon Wind Farm Phase I Post-Construction Avian and Bat Monitoring Second Annual Report, Sherman County, Oregon. January 26, 2009 - December 11, 2009.</w:t>
      </w:r>
      <w:bookmarkEnd w:id="11"/>
    </w:p>
    <w:p w:rsidR="000A2834" w:rsidRPr="000A2834" w:rsidRDefault="000A2834" w:rsidP="000A2834">
      <w:pPr>
        <w:keepLines/>
        <w:spacing w:after="120" w:line="240" w:lineRule="auto"/>
        <w:ind w:left="720" w:hanging="720"/>
        <w:rPr>
          <w:rFonts w:eastAsiaTheme="minorHAnsi"/>
          <w:noProof/>
          <w:sz w:val="20"/>
          <w:szCs w:val="20"/>
        </w:rPr>
      </w:pPr>
      <w:bookmarkStart w:id="12" w:name="_ENREF_13"/>
      <w:r w:rsidRPr="000A2834">
        <w:rPr>
          <w:rFonts w:eastAsiaTheme="minorHAnsi"/>
          <w:noProof/>
          <w:sz w:val="20"/>
          <w:szCs w:val="20"/>
        </w:rPr>
        <w:t>13. Enk T, Bay K, Sonnenberg M, Flaig J, Boehrs JR, et al. (2011) Year 1 Post-Construction Avian and Bat Monitoring Report: Biglow Canyon Wind Farm Phase II, Sherman County, Oregon. September 10, 2009 - September 12, 2010.</w:t>
      </w:r>
      <w:bookmarkEnd w:id="12"/>
    </w:p>
    <w:p w:rsidR="000A2834" w:rsidRPr="000A2834" w:rsidRDefault="000A2834" w:rsidP="000A2834">
      <w:pPr>
        <w:keepLines/>
        <w:spacing w:after="120" w:line="240" w:lineRule="auto"/>
        <w:ind w:left="720" w:hanging="720"/>
        <w:rPr>
          <w:rFonts w:eastAsiaTheme="minorHAnsi"/>
          <w:noProof/>
          <w:sz w:val="20"/>
          <w:szCs w:val="20"/>
        </w:rPr>
      </w:pPr>
      <w:bookmarkStart w:id="13" w:name="_ENREF_14"/>
      <w:r w:rsidRPr="000A2834">
        <w:rPr>
          <w:rFonts w:eastAsiaTheme="minorHAnsi"/>
          <w:noProof/>
          <w:sz w:val="20"/>
          <w:szCs w:val="20"/>
        </w:rPr>
        <w:t>14. Enk T, Bay K, Sonnenberg M, Boehrs JR (2012) Year 2 Avian and Bat Monitoring Report: Biglow Canyon Wind Farm Phase II, Sherman County, Oregon. September 13, 2010 - September 12, 2011.</w:t>
      </w:r>
      <w:bookmarkEnd w:id="13"/>
    </w:p>
    <w:p w:rsidR="000A2834" w:rsidRPr="000A2834" w:rsidRDefault="000A2834" w:rsidP="000A2834">
      <w:pPr>
        <w:keepLines/>
        <w:spacing w:after="120" w:line="240" w:lineRule="auto"/>
        <w:ind w:left="720" w:hanging="720"/>
        <w:rPr>
          <w:rFonts w:eastAsiaTheme="minorHAnsi"/>
          <w:noProof/>
          <w:sz w:val="20"/>
          <w:szCs w:val="20"/>
        </w:rPr>
      </w:pPr>
      <w:bookmarkStart w:id="14" w:name="_ENREF_15"/>
      <w:r w:rsidRPr="000A2834">
        <w:rPr>
          <w:rFonts w:eastAsiaTheme="minorHAnsi"/>
          <w:noProof/>
          <w:sz w:val="20"/>
          <w:szCs w:val="20"/>
        </w:rPr>
        <w:t>15. Enk T, Bay K, Sonnenberg M, Boehrs JR (2012) Year 1 Avian and Bat Monitoring Report: Biglow Canyon Wind Farm Phase III, Sherman County, Oregon. September 13, 2010 - September 9, 2011.</w:t>
      </w:r>
      <w:bookmarkEnd w:id="14"/>
    </w:p>
    <w:p w:rsidR="000A2834" w:rsidRPr="000A2834" w:rsidRDefault="000A2834" w:rsidP="000A2834">
      <w:pPr>
        <w:keepLines/>
        <w:spacing w:after="120" w:line="240" w:lineRule="auto"/>
        <w:ind w:left="720" w:hanging="720"/>
        <w:rPr>
          <w:rFonts w:eastAsiaTheme="minorHAnsi"/>
          <w:noProof/>
          <w:sz w:val="20"/>
          <w:szCs w:val="20"/>
        </w:rPr>
      </w:pPr>
      <w:bookmarkStart w:id="15" w:name="_ENREF_16"/>
      <w:r w:rsidRPr="000A2834">
        <w:rPr>
          <w:rFonts w:eastAsiaTheme="minorHAnsi"/>
          <w:noProof/>
          <w:sz w:val="20"/>
          <w:szCs w:val="20"/>
        </w:rPr>
        <w:t>16. Young, D.P. Jr., Jeffrey J, Erickson WP, Bay K, Poulton VK, et al. (2006) Eurus Combine Hills Turbine Ranch. Phase 1 Post Construction Wildlife Monitoring First Annual Report: February 2004 - February 2005.</w:t>
      </w:r>
      <w:bookmarkEnd w:id="15"/>
    </w:p>
    <w:p w:rsidR="000A2834" w:rsidRPr="000A2834" w:rsidRDefault="000A2834" w:rsidP="000A2834">
      <w:pPr>
        <w:keepLines/>
        <w:spacing w:after="120" w:line="240" w:lineRule="auto"/>
        <w:ind w:left="720" w:hanging="720"/>
        <w:rPr>
          <w:rFonts w:eastAsiaTheme="minorHAnsi"/>
          <w:noProof/>
          <w:sz w:val="20"/>
          <w:szCs w:val="20"/>
        </w:rPr>
      </w:pPr>
      <w:bookmarkStart w:id="16" w:name="_ENREF_17"/>
      <w:r w:rsidRPr="000A2834">
        <w:rPr>
          <w:rFonts w:eastAsiaTheme="minorHAnsi"/>
          <w:noProof/>
          <w:sz w:val="20"/>
          <w:szCs w:val="20"/>
        </w:rPr>
        <w:t>17. Enz T, Bay K, Sonnenberg M, Palochak A (2012) Post-Construction Monitoring Studies for the Combine Hills Turbine Ranch, Umatilla County, Oregon. Final Report: January 7 - December 2, 2011.</w:t>
      </w:r>
      <w:bookmarkEnd w:id="16"/>
    </w:p>
    <w:p w:rsidR="000A2834" w:rsidRPr="000A2834" w:rsidRDefault="000A2834" w:rsidP="000A2834">
      <w:pPr>
        <w:keepLines/>
        <w:spacing w:after="120" w:line="240" w:lineRule="auto"/>
        <w:ind w:left="720" w:hanging="720"/>
        <w:rPr>
          <w:rFonts w:eastAsiaTheme="minorHAnsi"/>
          <w:noProof/>
          <w:sz w:val="20"/>
          <w:szCs w:val="20"/>
        </w:rPr>
      </w:pPr>
      <w:bookmarkStart w:id="17" w:name="_ENREF_18"/>
      <w:r w:rsidRPr="000A2834">
        <w:rPr>
          <w:rFonts w:eastAsiaTheme="minorHAnsi"/>
          <w:noProof/>
          <w:sz w:val="20"/>
          <w:szCs w:val="20"/>
        </w:rPr>
        <w:t>18. Thompson J, Solick D, Bay K (2011) Post-Construction Fatality Surveys for the Dry Lake Phase I Wind Project. Iberdrola Renewables: September 2009 - November 2010.</w:t>
      </w:r>
      <w:bookmarkEnd w:id="17"/>
    </w:p>
    <w:p w:rsidR="000A2834" w:rsidRPr="000A2834" w:rsidRDefault="000A2834" w:rsidP="000A2834">
      <w:pPr>
        <w:keepLines/>
        <w:spacing w:after="120" w:line="240" w:lineRule="auto"/>
        <w:ind w:left="720" w:hanging="720"/>
        <w:rPr>
          <w:rFonts w:eastAsiaTheme="minorHAnsi"/>
          <w:noProof/>
          <w:sz w:val="20"/>
          <w:szCs w:val="20"/>
        </w:rPr>
      </w:pPr>
      <w:bookmarkStart w:id="18" w:name="_ENREF_19"/>
      <w:r w:rsidRPr="000A2834">
        <w:rPr>
          <w:rFonts w:eastAsiaTheme="minorHAnsi"/>
          <w:noProof/>
          <w:sz w:val="20"/>
          <w:szCs w:val="20"/>
        </w:rPr>
        <w:t>19. Thompson J, Bay K (2012) Post-Construction Fatality Surveys for the Dry Lake II Wind Project: February 2011 – February 2012.</w:t>
      </w:r>
      <w:bookmarkEnd w:id="18"/>
    </w:p>
    <w:p w:rsidR="000A2834" w:rsidRPr="000A2834" w:rsidRDefault="000A2834" w:rsidP="000A2834">
      <w:pPr>
        <w:keepLines/>
        <w:spacing w:after="120" w:line="240" w:lineRule="auto"/>
        <w:ind w:left="720" w:hanging="720"/>
        <w:rPr>
          <w:rFonts w:eastAsiaTheme="minorHAnsi"/>
          <w:noProof/>
          <w:sz w:val="20"/>
          <w:szCs w:val="20"/>
        </w:rPr>
      </w:pPr>
      <w:bookmarkStart w:id="19" w:name="_ENREF_20"/>
      <w:r w:rsidRPr="000A2834">
        <w:rPr>
          <w:rFonts w:eastAsiaTheme="minorHAnsi"/>
          <w:noProof/>
          <w:sz w:val="20"/>
          <w:szCs w:val="20"/>
        </w:rPr>
        <w:t>20. Jeffrey JD, Erickson WP, Bay K, Sonneberg M, Baker J, et al. (2009) Horizon Wind Energy, Elkhorn Valley Wind Project, Post-Construction Avian and Bat Monitoring, First Annual Report, January-December 2008.</w:t>
      </w:r>
      <w:bookmarkEnd w:id="19"/>
    </w:p>
    <w:p w:rsidR="000A2834" w:rsidRPr="000A2834" w:rsidRDefault="000A2834" w:rsidP="000A2834">
      <w:pPr>
        <w:keepLines/>
        <w:spacing w:after="120" w:line="240" w:lineRule="auto"/>
        <w:ind w:left="720" w:hanging="720"/>
        <w:rPr>
          <w:rFonts w:eastAsiaTheme="minorHAnsi"/>
          <w:noProof/>
          <w:sz w:val="20"/>
          <w:szCs w:val="20"/>
        </w:rPr>
      </w:pPr>
      <w:bookmarkStart w:id="20" w:name="_ENREF_21"/>
      <w:r w:rsidRPr="000A2834">
        <w:rPr>
          <w:rFonts w:eastAsiaTheme="minorHAnsi"/>
          <w:noProof/>
          <w:sz w:val="20"/>
          <w:szCs w:val="20"/>
        </w:rPr>
        <w:t>21. Enk T, Derby C, Bay K, Sonnenberg M (2011) 2010 Post-Construction Fatality Monitoring Report, Elkhorn Valley Wind Farm, Union County, Oregon. January – December 2010.</w:t>
      </w:r>
      <w:bookmarkEnd w:id="20"/>
    </w:p>
    <w:p w:rsidR="000A2834" w:rsidRPr="000A2834" w:rsidRDefault="000A2834" w:rsidP="000A2834">
      <w:pPr>
        <w:keepLines/>
        <w:spacing w:after="120" w:line="240" w:lineRule="auto"/>
        <w:ind w:left="720" w:hanging="720"/>
        <w:rPr>
          <w:rFonts w:eastAsiaTheme="minorHAnsi"/>
          <w:noProof/>
          <w:sz w:val="20"/>
          <w:szCs w:val="20"/>
        </w:rPr>
      </w:pPr>
      <w:bookmarkStart w:id="21" w:name="_ENREF_23"/>
      <w:r w:rsidRPr="000A2834">
        <w:rPr>
          <w:rFonts w:eastAsiaTheme="minorHAnsi"/>
          <w:noProof/>
          <w:sz w:val="20"/>
          <w:szCs w:val="20"/>
        </w:rPr>
        <w:t>22. Young, D.P. Jr., Erickson WP, Good RE, Strickland MD, Johnson GD (2003) Avian and Bat Mortality Associated with the Initial Phase of the Foote Creek Rim Windpower Project, Carbon County, Wyoming, Final Report, November 1998 - June 2002.</w:t>
      </w:r>
    </w:p>
    <w:p w:rsidR="000A2834" w:rsidRPr="000A2834" w:rsidRDefault="000A2834" w:rsidP="000A2834">
      <w:pPr>
        <w:keepLines/>
        <w:spacing w:after="120" w:line="240" w:lineRule="auto"/>
        <w:ind w:left="720" w:hanging="720"/>
        <w:rPr>
          <w:rFonts w:eastAsiaTheme="minorHAnsi"/>
          <w:noProof/>
          <w:sz w:val="20"/>
          <w:szCs w:val="20"/>
        </w:rPr>
      </w:pPr>
      <w:r w:rsidRPr="000A2834">
        <w:rPr>
          <w:rFonts w:eastAsiaTheme="minorHAnsi"/>
          <w:noProof/>
          <w:sz w:val="20"/>
          <w:szCs w:val="20"/>
        </w:rPr>
        <w:t>23. URS Corporation (2010) Final Goodnoe Hills Wind Project Avian Mortality Monitoring Report.</w:t>
      </w:r>
      <w:bookmarkEnd w:id="21"/>
    </w:p>
    <w:p w:rsidR="000A2834" w:rsidRPr="000A2834" w:rsidRDefault="000A2834" w:rsidP="000A2834">
      <w:pPr>
        <w:keepLines/>
        <w:spacing w:after="120" w:line="240" w:lineRule="auto"/>
        <w:ind w:left="720" w:hanging="720"/>
        <w:rPr>
          <w:rFonts w:eastAsiaTheme="minorHAnsi"/>
          <w:noProof/>
          <w:sz w:val="20"/>
          <w:szCs w:val="20"/>
        </w:rPr>
      </w:pPr>
      <w:bookmarkStart w:id="22" w:name="_ENREF_24"/>
      <w:r w:rsidRPr="000A2834">
        <w:rPr>
          <w:rFonts w:eastAsiaTheme="minorHAnsi"/>
          <w:noProof/>
          <w:sz w:val="20"/>
          <w:szCs w:val="20"/>
        </w:rPr>
        <w:t>24. Gritski R, Kronner K (2010) Hay Canyon Wind Power Project Wildlife Monitoring Study: May 2009 - May 2010.</w:t>
      </w:r>
      <w:bookmarkEnd w:id="22"/>
    </w:p>
    <w:p w:rsidR="000A2834" w:rsidRPr="000A2834" w:rsidRDefault="000A2834" w:rsidP="000A2834">
      <w:pPr>
        <w:keepLines/>
        <w:spacing w:after="120" w:line="240" w:lineRule="auto"/>
        <w:ind w:left="720" w:hanging="720"/>
        <w:rPr>
          <w:rFonts w:eastAsiaTheme="minorHAnsi"/>
          <w:noProof/>
          <w:sz w:val="20"/>
          <w:szCs w:val="20"/>
        </w:rPr>
      </w:pPr>
      <w:bookmarkStart w:id="23" w:name="_ENREF_25"/>
      <w:r w:rsidRPr="000A2834">
        <w:rPr>
          <w:rFonts w:eastAsiaTheme="minorHAnsi"/>
          <w:noProof/>
          <w:sz w:val="20"/>
          <w:szCs w:val="20"/>
        </w:rPr>
        <w:t>25. Young, D.P. Jr., Erickson WP, Jeffrey J, Poulton VK (2007) Puget Sound Energy Hopkins Ridge Wind Project Phase 1 Post-Construction Avian and Bat Monitoring First Annual Report, January - December 2006. 25 pp. p.</w:t>
      </w:r>
      <w:bookmarkEnd w:id="23"/>
    </w:p>
    <w:p w:rsidR="000A2834" w:rsidRPr="000A2834" w:rsidRDefault="000A2834" w:rsidP="000A2834">
      <w:pPr>
        <w:keepLines/>
        <w:spacing w:after="120" w:line="240" w:lineRule="auto"/>
        <w:ind w:left="720" w:hanging="720"/>
        <w:rPr>
          <w:rFonts w:eastAsiaTheme="minorHAnsi"/>
          <w:noProof/>
          <w:sz w:val="20"/>
          <w:szCs w:val="20"/>
        </w:rPr>
      </w:pPr>
      <w:bookmarkStart w:id="24" w:name="_ENREF_26"/>
      <w:r w:rsidRPr="000A2834">
        <w:rPr>
          <w:rFonts w:eastAsiaTheme="minorHAnsi"/>
          <w:noProof/>
          <w:sz w:val="20"/>
          <w:szCs w:val="20"/>
        </w:rPr>
        <w:t>26. Young, D.P. Jr., Jeffrey JD, Bay K, Erickson WP (2009) Puget Sound Energy Hopkins Ridge Wind Project, Phase 1, Columbia County, Washington. Post-Construction Avian and Bat Monitoring, Second Annual Report: January - December, 2008.</w:t>
      </w:r>
      <w:bookmarkEnd w:id="24"/>
    </w:p>
    <w:p w:rsidR="000A2834" w:rsidRPr="000A2834" w:rsidRDefault="000A2834" w:rsidP="000A2834">
      <w:pPr>
        <w:keepLines/>
        <w:spacing w:after="120" w:line="240" w:lineRule="auto"/>
        <w:ind w:left="720" w:hanging="720"/>
        <w:rPr>
          <w:rFonts w:eastAsiaTheme="minorHAnsi"/>
          <w:noProof/>
          <w:sz w:val="20"/>
          <w:szCs w:val="20"/>
        </w:rPr>
      </w:pPr>
      <w:bookmarkStart w:id="25" w:name="_ENREF_27"/>
      <w:r w:rsidRPr="000A2834">
        <w:rPr>
          <w:rFonts w:eastAsiaTheme="minorHAnsi"/>
          <w:noProof/>
          <w:sz w:val="20"/>
          <w:szCs w:val="20"/>
        </w:rPr>
        <w:t>27. Stantec Consulting Services, Inc. (Stantec Consulting Services) (2012) Post-Construction Monitoring, Summer 2011 - Spring 2012, Year 1 Annual Report: Kittitas Valley Wind Power Project, Cle Elum, Washington.</w:t>
      </w:r>
      <w:bookmarkEnd w:id="25"/>
    </w:p>
    <w:p w:rsidR="000A2834" w:rsidRPr="000A2834" w:rsidRDefault="000A2834" w:rsidP="000A2834">
      <w:pPr>
        <w:keepLines/>
        <w:spacing w:after="120" w:line="240" w:lineRule="auto"/>
        <w:ind w:left="720" w:hanging="720"/>
        <w:rPr>
          <w:rFonts w:eastAsiaTheme="minorHAnsi"/>
          <w:noProof/>
          <w:sz w:val="20"/>
          <w:szCs w:val="20"/>
        </w:rPr>
      </w:pPr>
      <w:bookmarkStart w:id="26" w:name="_ENREF_28"/>
      <w:r w:rsidRPr="000A2834">
        <w:rPr>
          <w:rFonts w:eastAsiaTheme="minorHAnsi"/>
          <w:noProof/>
          <w:sz w:val="20"/>
          <w:szCs w:val="20"/>
        </w:rPr>
        <w:t>28. Johnson GD, Erickson WP, White J (2003) Avian and Bat Mortality During the First Year of Operation at the Klondike Phase I Wind Project, Sherman County, Oregon.</w:t>
      </w:r>
      <w:bookmarkEnd w:id="26"/>
    </w:p>
    <w:p w:rsidR="000A2834" w:rsidRPr="000A2834" w:rsidRDefault="000A2834" w:rsidP="000A2834">
      <w:pPr>
        <w:keepLines/>
        <w:spacing w:after="120" w:line="240" w:lineRule="auto"/>
        <w:ind w:left="720" w:hanging="720"/>
        <w:rPr>
          <w:rFonts w:eastAsiaTheme="minorHAnsi"/>
          <w:noProof/>
          <w:sz w:val="20"/>
          <w:szCs w:val="20"/>
        </w:rPr>
      </w:pPr>
      <w:bookmarkStart w:id="27" w:name="_ENREF_29"/>
      <w:r w:rsidRPr="000A2834">
        <w:rPr>
          <w:rFonts w:eastAsiaTheme="minorHAnsi"/>
          <w:noProof/>
          <w:sz w:val="20"/>
          <w:szCs w:val="20"/>
        </w:rPr>
        <w:t>29. Northwest Wildlife Consultants, Inc. (NWC), Western EcoSystems Technology, Inc. (WEST) (2007) Avian and Bat Monitoring Report for the Klondike II Wind Power Project. Sherman County, Oregon.</w:t>
      </w:r>
      <w:bookmarkEnd w:id="27"/>
    </w:p>
    <w:p w:rsidR="000A2834" w:rsidRPr="000A2834" w:rsidRDefault="000A2834" w:rsidP="000A2834">
      <w:pPr>
        <w:keepLines/>
        <w:spacing w:after="120" w:line="240" w:lineRule="auto"/>
        <w:ind w:left="720" w:hanging="720"/>
        <w:rPr>
          <w:rFonts w:eastAsiaTheme="minorHAnsi"/>
          <w:noProof/>
          <w:sz w:val="20"/>
          <w:szCs w:val="20"/>
        </w:rPr>
      </w:pPr>
      <w:bookmarkStart w:id="28" w:name="_ENREF_30"/>
      <w:r w:rsidRPr="000A2834">
        <w:rPr>
          <w:rFonts w:eastAsiaTheme="minorHAnsi"/>
          <w:noProof/>
          <w:sz w:val="20"/>
          <w:szCs w:val="20"/>
        </w:rPr>
        <w:t>30. Gritski R, Downes S, Kronner K (2010) Klondike III (Phase 1) Wind Power Project Wildlife Monitoring: October 2007-October 2009.</w:t>
      </w:r>
      <w:bookmarkEnd w:id="28"/>
    </w:p>
    <w:p w:rsidR="000A2834" w:rsidRPr="000A2834" w:rsidRDefault="000A2834" w:rsidP="000A2834">
      <w:pPr>
        <w:keepLines/>
        <w:spacing w:after="120" w:line="240" w:lineRule="auto"/>
        <w:ind w:left="720" w:hanging="720"/>
        <w:rPr>
          <w:rFonts w:eastAsiaTheme="minorHAnsi"/>
          <w:noProof/>
          <w:sz w:val="20"/>
          <w:szCs w:val="20"/>
        </w:rPr>
      </w:pPr>
      <w:bookmarkStart w:id="29" w:name="_ENREF_31"/>
      <w:r w:rsidRPr="000A2834">
        <w:rPr>
          <w:rFonts w:eastAsiaTheme="minorHAnsi"/>
          <w:noProof/>
          <w:sz w:val="20"/>
          <w:szCs w:val="20"/>
        </w:rPr>
        <w:t>31. Gritski R, Downes S, Kronner K (2011) Klondike IIIa (Phase 2) Wind Power Project Wildlife Monitoring: August 2008 - August 2010.</w:t>
      </w:r>
      <w:bookmarkEnd w:id="29"/>
    </w:p>
    <w:p w:rsidR="000A2834" w:rsidRPr="000A2834" w:rsidRDefault="000A2834" w:rsidP="000A2834">
      <w:pPr>
        <w:keepLines/>
        <w:spacing w:after="120" w:line="240" w:lineRule="auto"/>
        <w:ind w:left="720" w:hanging="720"/>
        <w:rPr>
          <w:rFonts w:eastAsiaTheme="minorHAnsi"/>
          <w:noProof/>
          <w:sz w:val="20"/>
          <w:szCs w:val="20"/>
        </w:rPr>
      </w:pPr>
      <w:bookmarkStart w:id="30" w:name="_ENREF_32"/>
      <w:r w:rsidRPr="000A2834">
        <w:rPr>
          <w:rFonts w:eastAsiaTheme="minorHAnsi"/>
          <w:noProof/>
          <w:sz w:val="20"/>
          <w:szCs w:val="20"/>
        </w:rPr>
        <w:lastRenderedPageBreak/>
        <w:t>32. Enz T, Bay K (2011) Post-Construction Monitoring at the Linden Ranch Wind Farm, Klickitat County, Washington. Final Report: June 30, 2010 - July 17, 2011.</w:t>
      </w:r>
      <w:bookmarkEnd w:id="30"/>
    </w:p>
    <w:p w:rsidR="000A2834" w:rsidRPr="000A2834" w:rsidRDefault="000A2834" w:rsidP="000A2834">
      <w:pPr>
        <w:keepLines/>
        <w:spacing w:after="120" w:line="240" w:lineRule="auto"/>
        <w:ind w:left="720" w:hanging="720"/>
        <w:rPr>
          <w:rFonts w:eastAsiaTheme="minorHAnsi"/>
          <w:noProof/>
          <w:sz w:val="20"/>
          <w:szCs w:val="20"/>
        </w:rPr>
      </w:pPr>
      <w:bookmarkStart w:id="31" w:name="_ENREF_33"/>
      <w:r w:rsidRPr="000A2834">
        <w:rPr>
          <w:rFonts w:eastAsiaTheme="minorHAnsi"/>
          <w:noProof/>
          <w:sz w:val="20"/>
          <w:szCs w:val="20"/>
        </w:rPr>
        <w:t>33. URS Corporation (2010) Final Marengo I Wind Project Year One Avian Mortality Monitoring Report.</w:t>
      </w:r>
      <w:bookmarkEnd w:id="31"/>
    </w:p>
    <w:p w:rsidR="000A2834" w:rsidRPr="000A2834" w:rsidRDefault="000A2834" w:rsidP="000A2834">
      <w:pPr>
        <w:keepLines/>
        <w:spacing w:after="120" w:line="240" w:lineRule="auto"/>
        <w:ind w:left="720" w:hanging="720"/>
        <w:rPr>
          <w:rFonts w:eastAsiaTheme="minorHAnsi"/>
          <w:noProof/>
          <w:sz w:val="20"/>
          <w:szCs w:val="20"/>
        </w:rPr>
      </w:pPr>
      <w:bookmarkStart w:id="32" w:name="_ENREF_34"/>
      <w:r w:rsidRPr="000A2834">
        <w:rPr>
          <w:rFonts w:eastAsiaTheme="minorHAnsi"/>
          <w:noProof/>
          <w:sz w:val="20"/>
          <w:szCs w:val="20"/>
        </w:rPr>
        <w:t>34. URS Corporation (2010) Final Marengo II Wind Project Year One Avian Mortality Monitoring Report.</w:t>
      </w:r>
      <w:bookmarkEnd w:id="32"/>
    </w:p>
    <w:p w:rsidR="000A2834" w:rsidRPr="000A2834" w:rsidRDefault="000A2834" w:rsidP="000A2834">
      <w:pPr>
        <w:keepLines/>
        <w:spacing w:after="120" w:line="240" w:lineRule="auto"/>
        <w:ind w:left="720" w:hanging="720"/>
        <w:rPr>
          <w:rFonts w:eastAsiaTheme="minorHAnsi"/>
          <w:noProof/>
          <w:sz w:val="20"/>
          <w:szCs w:val="20"/>
        </w:rPr>
      </w:pPr>
      <w:bookmarkStart w:id="33" w:name="_ENREF_35"/>
      <w:r w:rsidRPr="000A2834">
        <w:rPr>
          <w:rFonts w:eastAsiaTheme="minorHAnsi"/>
          <w:noProof/>
          <w:sz w:val="20"/>
          <w:szCs w:val="20"/>
        </w:rPr>
        <w:t>35. Erickson WP, Kronner K, Gritski R (2003) Nine Canyon Wind Power Project Avian and Bat Monitoring Report. September 2002 – August 2003.</w:t>
      </w:r>
      <w:bookmarkEnd w:id="33"/>
    </w:p>
    <w:p w:rsidR="000A2834" w:rsidRPr="000A2834" w:rsidRDefault="000A2834" w:rsidP="000A2834">
      <w:pPr>
        <w:keepLines/>
        <w:spacing w:after="120" w:line="240" w:lineRule="auto"/>
        <w:ind w:left="720" w:hanging="720"/>
        <w:rPr>
          <w:rFonts w:eastAsiaTheme="minorHAnsi"/>
          <w:noProof/>
          <w:sz w:val="20"/>
          <w:szCs w:val="20"/>
        </w:rPr>
      </w:pPr>
      <w:bookmarkStart w:id="34" w:name="_ENREF_36"/>
      <w:r w:rsidRPr="000A2834">
        <w:rPr>
          <w:rFonts w:eastAsiaTheme="minorHAnsi"/>
          <w:noProof/>
          <w:sz w:val="20"/>
          <w:szCs w:val="20"/>
        </w:rPr>
        <w:t>36. Erickson WP, Jeffrey J, Kronner K, Bay K (2004) Stateline Wind Project Wildlife Monitoring Annual Report. July 2001 - December 2003.</w:t>
      </w:r>
      <w:bookmarkEnd w:id="34"/>
    </w:p>
    <w:p w:rsidR="000A2834" w:rsidRPr="000A2834" w:rsidRDefault="000A2834" w:rsidP="000A2834">
      <w:pPr>
        <w:keepLines/>
        <w:spacing w:after="120" w:line="240" w:lineRule="auto"/>
        <w:ind w:left="720" w:hanging="720"/>
        <w:rPr>
          <w:rFonts w:eastAsiaTheme="minorHAnsi"/>
          <w:noProof/>
          <w:sz w:val="20"/>
          <w:szCs w:val="20"/>
        </w:rPr>
      </w:pPr>
      <w:bookmarkStart w:id="35" w:name="_ENREF_37"/>
      <w:r w:rsidRPr="000A2834">
        <w:rPr>
          <w:rFonts w:eastAsiaTheme="minorHAnsi"/>
          <w:noProof/>
          <w:sz w:val="20"/>
          <w:szCs w:val="20"/>
        </w:rPr>
        <w:t>37. Erickson WP, Kronner K, Bay KJ (2007) Stateline 2 Wind Project Wildlife Monitoring Report, January - December 2006.</w:t>
      </w:r>
      <w:bookmarkEnd w:id="35"/>
    </w:p>
    <w:p w:rsidR="000A2834" w:rsidRPr="000A2834" w:rsidRDefault="000A2834" w:rsidP="000A2834">
      <w:pPr>
        <w:keepLines/>
        <w:spacing w:after="120" w:line="240" w:lineRule="auto"/>
        <w:ind w:left="720" w:hanging="720"/>
        <w:rPr>
          <w:rFonts w:eastAsiaTheme="minorHAnsi"/>
          <w:noProof/>
          <w:sz w:val="20"/>
          <w:szCs w:val="20"/>
        </w:rPr>
      </w:pPr>
      <w:bookmarkStart w:id="36" w:name="_ENREF_38"/>
      <w:r w:rsidRPr="000A2834">
        <w:rPr>
          <w:rFonts w:eastAsiaTheme="minorHAnsi"/>
          <w:noProof/>
          <w:sz w:val="20"/>
          <w:szCs w:val="20"/>
        </w:rPr>
        <w:t>38. Erickson WP, Johnson GD, Strickland MD, Kronner K (2000) Avian and Bat Mortality Associated with the Vansycle Wind Project, Umatilla County, Oregon: 1999 Study Year.</w:t>
      </w:r>
      <w:bookmarkEnd w:id="36"/>
    </w:p>
    <w:p w:rsidR="000A2834" w:rsidRPr="000A2834" w:rsidRDefault="000A2834" w:rsidP="000A2834">
      <w:pPr>
        <w:keepLines/>
        <w:spacing w:after="120" w:line="240" w:lineRule="auto"/>
        <w:ind w:left="720" w:hanging="720"/>
        <w:rPr>
          <w:rFonts w:eastAsiaTheme="minorHAnsi"/>
          <w:noProof/>
          <w:sz w:val="20"/>
          <w:szCs w:val="20"/>
        </w:rPr>
      </w:pPr>
      <w:bookmarkStart w:id="37" w:name="_ENREF_39"/>
      <w:r w:rsidRPr="000A2834">
        <w:rPr>
          <w:rFonts w:eastAsiaTheme="minorHAnsi"/>
          <w:noProof/>
          <w:sz w:val="20"/>
          <w:szCs w:val="20"/>
        </w:rPr>
        <w:t>39. Ventus Environmental Solutions (Ventus) (2012) Vantage Wind Energy Center Avian and Bat Monitoring Study: March 2011- March 2012.</w:t>
      </w:r>
      <w:bookmarkEnd w:id="37"/>
    </w:p>
    <w:p w:rsidR="000A2834" w:rsidRPr="000A2834" w:rsidRDefault="000A2834" w:rsidP="000A2834">
      <w:pPr>
        <w:keepLines/>
        <w:spacing w:after="120" w:line="240" w:lineRule="auto"/>
        <w:ind w:left="720" w:hanging="720"/>
        <w:rPr>
          <w:rFonts w:eastAsiaTheme="minorHAnsi"/>
          <w:noProof/>
          <w:sz w:val="20"/>
          <w:szCs w:val="20"/>
        </w:rPr>
      </w:pPr>
      <w:bookmarkStart w:id="38" w:name="_ENREF_40"/>
      <w:r w:rsidRPr="000A2834">
        <w:rPr>
          <w:rFonts w:eastAsiaTheme="minorHAnsi"/>
          <w:noProof/>
          <w:sz w:val="20"/>
          <w:szCs w:val="20"/>
        </w:rPr>
        <w:t>40. Erickson WP, Jeffrey J, Poulton VK (2008) Avian and Bat Monitoring: Year 1 Report. Puget Sound Energy Wild Horse Wind Project, Kittitas County, Washington.</w:t>
      </w:r>
      <w:bookmarkEnd w:id="38"/>
    </w:p>
    <w:p w:rsidR="000A2834" w:rsidRPr="000A2834" w:rsidRDefault="000A2834" w:rsidP="000A2834">
      <w:pPr>
        <w:keepLines/>
        <w:spacing w:after="120" w:line="240" w:lineRule="auto"/>
        <w:ind w:left="720" w:hanging="720"/>
        <w:rPr>
          <w:rFonts w:eastAsiaTheme="minorHAnsi"/>
          <w:noProof/>
          <w:sz w:val="20"/>
          <w:szCs w:val="20"/>
        </w:rPr>
      </w:pPr>
      <w:bookmarkStart w:id="39" w:name="_ENREF_41"/>
      <w:r w:rsidRPr="000A2834">
        <w:rPr>
          <w:rFonts w:eastAsiaTheme="minorHAnsi"/>
          <w:noProof/>
          <w:sz w:val="20"/>
          <w:szCs w:val="20"/>
        </w:rPr>
        <w:t>41. Enz T, Bay K, Nomani S, Kesterke M (2011) Bird and Bat Fatality Monitoring Study, Windy Flats and Windy Point II Wind Energy Projects, Klickitat County, Washington. Final Report: February 1, 2010 - January 14, 2011.</w:t>
      </w:r>
      <w:bookmarkEnd w:id="39"/>
    </w:p>
    <w:p w:rsidR="000A2834" w:rsidRPr="000A2834" w:rsidRDefault="000A2834" w:rsidP="000A2834">
      <w:pPr>
        <w:keepLines/>
        <w:spacing w:after="120" w:line="240" w:lineRule="auto"/>
        <w:ind w:left="720" w:hanging="720"/>
        <w:rPr>
          <w:rFonts w:eastAsiaTheme="minorHAnsi"/>
          <w:noProof/>
          <w:sz w:val="20"/>
          <w:szCs w:val="20"/>
        </w:rPr>
      </w:pPr>
      <w:bookmarkStart w:id="40" w:name="_ENREF_42"/>
      <w:r w:rsidRPr="000A2834">
        <w:rPr>
          <w:rFonts w:eastAsiaTheme="minorHAnsi"/>
          <w:noProof/>
          <w:sz w:val="20"/>
          <w:szCs w:val="20"/>
        </w:rPr>
        <w:t>42. Tidhar D, Tidhar WL, McManus L, Courage Z (2011) 2010 Post-Construction Fatality Surveys for the Lempster Wind Project, Lempster, New Hampshire.</w:t>
      </w:r>
      <w:bookmarkEnd w:id="40"/>
    </w:p>
    <w:p w:rsidR="000A2834" w:rsidRPr="000A2834" w:rsidRDefault="000A2834" w:rsidP="000A2834">
      <w:pPr>
        <w:keepLines/>
        <w:spacing w:after="120" w:line="240" w:lineRule="auto"/>
        <w:ind w:left="720" w:hanging="720"/>
        <w:rPr>
          <w:rFonts w:eastAsiaTheme="minorHAnsi"/>
          <w:noProof/>
          <w:sz w:val="20"/>
          <w:szCs w:val="20"/>
        </w:rPr>
      </w:pPr>
      <w:bookmarkStart w:id="41" w:name="_ENREF_43"/>
      <w:r w:rsidRPr="000A2834">
        <w:rPr>
          <w:rFonts w:eastAsiaTheme="minorHAnsi"/>
          <w:noProof/>
          <w:sz w:val="20"/>
          <w:szCs w:val="20"/>
        </w:rPr>
        <w:t>43. Jain A, Kerlinger P, Curry R, Slobodnik L (2009) Annual Report for the Maple Ridge Wind Power Project: Post-Construction Bird and Bat Fatality Study - 2007.</w:t>
      </w:r>
      <w:bookmarkEnd w:id="41"/>
    </w:p>
    <w:p w:rsidR="000A2834" w:rsidRPr="000A2834" w:rsidRDefault="000A2834" w:rsidP="000A2834">
      <w:pPr>
        <w:keepLines/>
        <w:spacing w:after="120" w:line="240" w:lineRule="auto"/>
        <w:ind w:left="720" w:hanging="720"/>
        <w:rPr>
          <w:rFonts w:eastAsiaTheme="minorHAnsi"/>
          <w:noProof/>
          <w:sz w:val="20"/>
          <w:szCs w:val="20"/>
        </w:rPr>
      </w:pPr>
      <w:bookmarkStart w:id="42" w:name="_ENREF_44"/>
      <w:r w:rsidRPr="000A2834">
        <w:rPr>
          <w:rFonts w:eastAsiaTheme="minorHAnsi"/>
          <w:noProof/>
          <w:sz w:val="20"/>
          <w:szCs w:val="20"/>
        </w:rPr>
        <w:t>44. Jain A, Kerlinger P, Curry R, Slobodnik L, Lehman M (2009) Maple Ridge Wind Power Avian and Bat Fatality Study Report - 2008.</w:t>
      </w:r>
      <w:bookmarkEnd w:id="42"/>
    </w:p>
    <w:p w:rsidR="000A2834" w:rsidRPr="000A2834" w:rsidRDefault="000A2834" w:rsidP="000A2834">
      <w:pPr>
        <w:keepLines/>
        <w:spacing w:after="120" w:line="240" w:lineRule="auto"/>
        <w:ind w:left="720" w:hanging="720"/>
        <w:rPr>
          <w:rFonts w:eastAsiaTheme="minorHAnsi"/>
          <w:noProof/>
          <w:sz w:val="20"/>
          <w:szCs w:val="20"/>
        </w:rPr>
      </w:pPr>
      <w:bookmarkStart w:id="43" w:name="_ENREF_45"/>
      <w:r w:rsidRPr="000A2834">
        <w:rPr>
          <w:rFonts w:eastAsiaTheme="minorHAnsi"/>
          <w:noProof/>
          <w:sz w:val="20"/>
          <w:szCs w:val="20"/>
        </w:rPr>
        <w:t>45. Jain A, Kerlinger P, Slobodnik L, Curry R, Russell K (2011) Annual Report for the Noble Altona Windpark, LLC: Postconstruction Bird and Bat Fatality Study - 2010.</w:t>
      </w:r>
      <w:bookmarkEnd w:id="43"/>
    </w:p>
    <w:p w:rsidR="000A2834" w:rsidRPr="000A2834" w:rsidRDefault="000A2834" w:rsidP="000A2834">
      <w:pPr>
        <w:keepLines/>
        <w:spacing w:after="120" w:line="240" w:lineRule="auto"/>
        <w:ind w:left="720" w:hanging="720"/>
        <w:rPr>
          <w:rFonts w:eastAsiaTheme="minorHAnsi"/>
          <w:noProof/>
          <w:sz w:val="20"/>
          <w:szCs w:val="20"/>
        </w:rPr>
      </w:pPr>
      <w:bookmarkStart w:id="44" w:name="_ENREF_46"/>
      <w:r w:rsidRPr="000A2834">
        <w:rPr>
          <w:rFonts w:eastAsiaTheme="minorHAnsi"/>
          <w:noProof/>
          <w:sz w:val="20"/>
          <w:szCs w:val="20"/>
        </w:rPr>
        <w:t>46. Jain A, Kerlinger P, Slobodnik L, Curry R, Russell K (2011) Annual Report for the Noble Chateaugay Windpark, LLC: Postconstruction Bird and Bat Fatality Study - 2010.</w:t>
      </w:r>
      <w:bookmarkEnd w:id="44"/>
    </w:p>
    <w:p w:rsidR="000A2834" w:rsidRPr="000A2834" w:rsidRDefault="000A2834" w:rsidP="000A2834">
      <w:pPr>
        <w:keepLines/>
        <w:spacing w:after="120" w:line="240" w:lineRule="auto"/>
        <w:ind w:left="720" w:hanging="720"/>
        <w:rPr>
          <w:rFonts w:eastAsiaTheme="minorHAnsi"/>
          <w:noProof/>
          <w:sz w:val="20"/>
          <w:szCs w:val="20"/>
        </w:rPr>
      </w:pPr>
      <w:bookmarkStart w:id="45" w:name="_ENREF_47"/>
      <w:r w:rsidRPr="000A2834">
        <w:rPr>
          <w:rFonts w:eastAsiaTheme="minorHAnsi"/>
          <w:noProof/>
          <w:sz w:val="20"/>
          <w:szCs w:val="20"/>
        </w:rPr>
        <w:t>47. Jain A, Kerlinger P, Curry R, Slobodnik L, Histed J, et al. (2009) Annual Report for the Noble Clinton Windpark, LLC, Postconstruction Bird and Bat Fatality Study - 2008.</w:t>
      </w:r>
      <w:bookmarkEnd w:id="45"/>
    </w:p>
    <w:p w:rsidR="000A2834" w:rsidRPr="000A2834" w:rsidRDefault="000A2834" w:rsidP="000A2834">
      <w:pPr>
        <w:keepLines/>
        <w:spacing w:after="120" w:line="240" w:lineRule="auto"/>
        <w:ind w:left="720" w:hanging="720"/>
        <w:rPr>
          <w:rFonts w:eastAsiaTheme="minorHAnsi"/>
          <w:noProof/>
          <w:sz w:val="20"/>
          <w:szCs w:val="20"/>
        </w:rPr>
      </w:pPr>
      <w:bookmarkStart w:id="46" w:name="_ENREF_48"/>
      <w:r w:rsidRPr="000A2834">
        <w:rPr>
          <w:rFonts w:eastAsiaTheme="minorHAnsi"/>
          <w:noProof/>
          <w:sz w:val="20"/>
          <w:szCs w:val="20"/>
        </w:rPr>
        <w:t>48. Jain A, Kerlinger P, Slobodnik L, Curry R, Russell K (2010) Annual Report for the Noble Clinton Windpark, LLC: Postconstruction Bird and Bat Fatality Study - 2009.</w:t>
      </w:r>
      <w:bookmarkEnd w:id="46"/>
    </w:p>
    <w:p w:rsidR="000A2834" w:rsidRPr="000A2834" w:rsidRDefault="000A2834" w:rsidP="000A2834">
      <w:pPr>
        <w:keepLines/>
        <w:spacing w:after="120" w:line="240" w:lineRule="auto"/>
        <w:ind w:left="720" w:hanging="720"/>
        <w:rPr>
          <w:rFonts w:eastAsiaTheme="minorHAnsi"/>
          <w:noProof/>
          <w:sz w:val="20"/>
          <w:szCs w:val="20"/>
        </w:rPr>
      </w:pPr>
      <w:bookmarkStart w:id="47" w:name="_ENREF_49"/>
      <w:r w:rsidRPr="000A2834">
        <w:rPr>
          <w:rFonts w:eastAsiaTheme="minorHAnsi"/>
          <w:noProof/>
          <w:sz w:val="20"/>
          <w:szCs w:val="20"/>
        </w:rPr>
        <w:t>49. Jain A, Kerlinger P, Curry R, Slobodnik L, Fuerst A, et al. (2009) Annual Report for the Noble Ellenburg Windpark, LLC, Postconstruction Bird and Bat Fatality Study - 2008.</w:t>
      </w:r>
      <w:bookmarkEnd w:id="47"/>
    </w:p>
    <w:p w:rsidR="000A2834" w:rsidRPr="000A2834" w:rsidRDefault="000A2834" w:rsidP="000A2834">
      <w:pPr>
        <w:keepLines/>
        <w:spacing w:after="120" w:line="240" w:lineRule="auto"/>
        <w:ind w:left="720" w:hanging="720"/>
        <w:rPr>
          <w:rFonts w:eastAsiaTheme="minorHAnsi"/>
          <w:noProof/>
          <w:sz w:val="20"/>
          <w:szCs w:val="20"/>
        </w:rPr>
      </w:pPr>
      <w:bookmarkStart w:id="48" w:name="_ENREF_50"/>
      <w:r w:rsidRPr="000A2834">
        <w:rPr>
          <w:rFonts w:eastAsiaTheme="minorHAnsi"/>
          <w:noProof/>
          <w:sz w:val="20"/>
          <w:szCs w:val="20"/>
        </w:rPr>
        <w:t>50. Jain A, Kerlinger P, Slobodnik L, Curry R, Russell K (2010) Annual Report for the Noble Ellenburg Windpark, LLC: Postconstruction Bird and Bat Fatality Study - 2009.</w:t>
      </w:r>
      <w:bookmarkEnd w:id="48"/>
    </w:p>
    <w:p w:rsidR="000A2834" w:rsidRPr="000A2834" w:rsidRDefault="000A2834" w:rsidP="000A2834">
      <w:pPr>
        <w:keepLines/>
        <w:spacing w:after="120" w:line="240" w:lineRule="auto"/>
        <w:ind w:left="720" w:hanging="720"/>
        <w:rPr>
          <w:rFonts w:eastAsiaTheme="minorHAnsi"/>
          <w:noProof/>
          <w:sz w:val="20"/>
          <w:szCs w:val="20"/>
        </w:rPr>
      </w:pPr>
      <w:bookmarkStart w:id="49" w:name="_ENREF_51"/>
      <w:r w:rsidRPr="000A2834">
        <w:rPr>
          <w:rFonts w:eastAsiaTheme="minorHAnsi"/>
          <w:noProof/>
          <w:sz w:val="20"/>
          <w:szCs w:val="20"/>
        </w:rPr>
        <w:t>51. Chatfield A, Erickson WP, Bay K (2010) Final Report: Avian and Bat Fatality Study at the Alite Wind-Energy Facility, Kern County, California. Final Report: June 15, 2009 – June 15, 2010.</w:t>
      </w:r>
      <w:bookmarkEnd w:id="49"/>
    </w:p>
    <w:p w:rsidR="000A2834" w:rsidRPr="000A2834" w:rsidRDefault="000A2834" w:rsidP="000A2834">
      <w:pPr>
        <w:keepLines/>
        <w:spacing w:after="120" w:line="240" w:lineRule="auto"/>
        <w:ind w:left="720" w:hanging="720"/>
        <w:rPr>
          <w:rFonts w:eastAsiaTheme="minorHAnsi"/>
          <w:noProof/>
          <w:sz w:val="20"/>
          <w:szCs w:val="20"/>
        </w:rPr>
      </w:pPr>
      <w:bookmarkStart w:id="50" w:name="_ENREF_52"/>
      <w:r w:rsidRPr="000A2834">
        <w:rPr>
          <w:rFonts w:eastAsiaTheme="minorHAnsi"/>
          <w:noProof/>
          <w:sz w:val="20"/>
          <w:szCs w:val="20"/>
        </w:rPr>
        <w:t>52. Western EcoSystems Technology, Inc. (WEST) (2006) Diablo Winds Wildlife Monitoring Progress Report, March 2005 - February 2006. Cheyenne, Wyoming: WEST.</w:t>
      </w:r>
      <w:bookmarkEnd w:id="50"/>
    </w:p>
    <w:p w:rsidR="000A2834" w:rsidRPr="000A2834" w:rsidRDefault="000A2834" w:rsidP="000A2834">
      <w:pPr>
        <w:keepLines/>
        <w:spacing w:after="120" w:line="240" w:lineRule="auto"/>
        <w:ind w:left="720" w:hanging="720"/>
        <w:rPr>
          <w:rFonts w:eastAsiaTheme="minorHAnsi"/>
          <w:noProof/>
          <w:sz w:val="20"/>
          <w:szCs w:val="20"/>
        </w:rPr>
      </w:pPr>
      <w:bookmarkStart w:id="51" w:name="_ENREF_53"/>
      <w:r w:rsidRPr="000A2834">
        <w:rPr>
          <w:rFonts w:eastAsiaTheme="minorHAnsi"/>
          <w:noProof/>
          <w:sz w:val="20"/>
          <w:szCs w:val="20"/>
        </w:rPr>
        <w:t>53. Western EcoSystems Technology, Inc. (WEST) (2008) Diablo Winds Wildlife Monitoring Progress Report: March 2005 – February 2007.</w:t>
      </w:r>
      <w:bookmarkEnd w:id="51"/>
    </w:p>
    <w:p w:rsidR="000A2834" w:rsidRPr="000A2834" w:rsidRDefault="000A2834" w:rsidP="000A2834">
      <w:pPr>
        <w:keepLines/>
        <w:spacing w:after="120" w:line="240" w:lineRule="auto"/>
        <w:ind w:left="720" w:hanging="720"/>
        <w:rPr>
          <w:rFonts w:eastAsiaTheme="minorHAnsi"/>
          <w:noProof/>
          <w:sz w:val="20"/>
          <w:szCs w:val="20"/>
        </w:rPr>
      </w:pPr>
      <w:bookmarkStart w:id="52" w:name="_ENREF_54"/>
      <w:r w:rsidRPr="000A2834">
        <w:rPr>
          <w:rFonts w:eastAsiaTheme="minorHAnsi"/>
          <w:noProof/>
          <w:sz w:val="20"/>
          <w:szCs w:val="20"/>
        </w:rPr>
        <w:lastRenderedPageBreak/>
        <w:t>54. Chatfield A, Erickson W, Bay K (2009) Avian and Bat Fatality Study, Dillon Wind-Energy Facility, Riverside County, California. Final Report: March 26, 2008 - March 26, 2009.</w:t>
      </w:r>
      <w:bookmarkEnd w:id="52"/>
    </w:p>
    <w:p w:rsidR="000A2834" w:rsidRPr="000A2834" w:rsidRDefault="000A2834" w:rsidP="000A2834">
      <w:pPr>
        <w:keepLines/>
        <w:spacing w:after="120" w:line="240" w:lineRule="auto"/>
        <w:ind w:left="720" w:hanging="720"/>
        <w:rPr>
          <w:rFonts w:eastAsiaTheme="minorHAnsi"/>
          <w:noProof/>
          <w:sz w:val="20"/>
          <w:szCs w:val="20"/>
        </w:rPr>
      </w:pPr>
      <w:bookmarkStart w:id="53" w:name="_ENREF_55"/>
      <w:r w:rsidRPr="000A2834">
        <w:rPr>
          <w:rFonts w:eastAsiaTheme="minorHAnsi"/>
          <w:noProof/>
          <w:sz w:val="20"/>
          <w:szCs w:val="20"/>
        </w:rPr>
        <w:t>55. BioResource Consultants, Inc. (BRC) (2010) 2009/2010 Annual Report: Bird and Bat Mortality Monitoring, Pine Tree Wind Farm, Kern County, California.</w:t>
      </w:r>
      <w:bookmarkEnd w:id="53"/>
    </w:p>
    <w:p w:rsidR="000A2834" w:rsidRPr="000A2834" w:rsidRDefault="000A2834" w:rsidP="000A2834">
      <w:pPr>
        <w:keepLines/>
        <w:spacing w:after="120" w:line="240" w:lineRule="auto"/>
        <w:ind w:left="720" w:hanging="720"/>
        <w:rPr>
          <w:rFonts w:eastAsiaTheme="minorHAnsi"/>
          <w:noProof/>
          <w:sz w:val="20"/>
          <w:szCs w:val="20"/>
        </w:rPr>
      </w:pPr>
      <w:bookmarkStart w:id="54" w:name="_ENREF_56"/>
      <w:r w:rsidRPr="000A2834">
        <w:rPr>
          <w:rFonts w:eastAsiaTheme="minorHAnsi"/>
          <w:noProof/>
          <w:sz w:val="20"/>
          <w:szCs w:val="20"/>
        </w:rPr>
        <w:t>56. Kerlinger P, Curry R, Culp L, Hasch A, Jain A (2009) Post-Construction Avian Monitoring Study for the Shiloh I Wind Power Project, Solano County, California. Final Report: October 2009.</w:t>
      </w:r>
      <w:bookmarkEnd w:id="54"/>
    </w:p>
    <w:p w:rsidR="000A2834" w:rsidRPr="000A2834" w:rsidRDefault="000A2834" w:rsidP="000A2834">
      <w:pPr>
        <w:keepLines/>
        <w:spacing w:after="120" w:line="240" w:lineRule="auto"/>
        <w:ind w:left="720" w:hanging="720"/>
        <w:rPr>
          <w:rFonts w:eastAsiaTheme="minorHAnsi"/>
          <w:noProof/>
          <w:sz w:val="20"/>
          <w:szCs w:val="20"/>
        </w:rPr>
      </w:pPr>
      <w:bookmarkStart w:id="55" w:name="_ENREF_57"/>
      <w:r w:rsidRPr="000A2834">
        <w:rPr>
          <w:rFonts w:eastAsiaTheme="minorHAnsi"/>
          <w:noProof/>
          <w:sz w:val="20"/>
          <w:szCs w:val="20"/>
        </w:rPr>
        <w:t>57. Kerlinger P, Curry R, Culp L, Hasch A, Jain A (2010) Post-Construction Avian Monitoring Study for the Shiloh II Wind Power Project, Solano County, California. Year One Report.</w:t>
      </w:r>
      <w:bookmarkEnd w:id="55"/>
    </w:p>
    <w:p w:rsidR="000A2834" w:rsidRPr="000A2834" w:rsidRDefault="000A2834" w:rsidP="000A2834">
      <w:pPr>
        <w:keepLines/>
        <w:spacing w:after="120" w:line="240" w:lineRule="auto"/>
        <w:ind w:left="720" w:hanging="720"/>
        <w:rPr>
          <w:rFonts w:eastAsiaTheme="minorHAnsi"/>
          <w:noProof/>
          <w:sz w:val="20"/>
          <w:szCs w:val="20"/>
        </w:rPr>
      </w:pPr>
      <w:bookmarkStart w:id="56" w:name="_ENREF_58"/>
      <w:r w:rsidRPr="000A2834">
        <w:rPr>
          <w:rFonts w:eastAsiaTheme="minorHAnsi"/>
          <w:noProof/>
          <w:sz w:val="20"/>
          <w:szCs w:val="20"/>
        </w:rPr>
        <w:t>58. Western EcoSystems Technology, Inc. (WEST) (2011) Post-Construction Fatality Surveys for the Barton Chapel Wind Project: Iberdrola Renewables. Version: July 2011.</w:t>
      </w:r>
      <w:bookmarkEnd w:id="56"/>
    </w:p>
    <w:p w:rsidR="000A2834" w:rsidRPr="000A2834" w:rsidRDefault="000A2834" w:rsidP="000A2834">
      <w:pPr>
        <w:keepLines/>
        <w:spacing w:after="120" w:line="240" w:lineRule="auto"/>
        <w:ind w:left="720" w:hanging="720"/>
        <w:rPr>
          <w:rFonts w:eastAsiaTheme="minorHAnsi"/>
          <w:noProof/>
          <w:sz w:val="20"/>
          <w:szCs w:val="20"/>
        </w:rPr>
      </w:pPr>
      <w:bookmarkStart w:id="57" w:name="_ENREF_59"/>
      <w:r w:rsidRPr="000A2834">
        <w:rPr>
          <w:rFonts w:eastAsiaTheme="minorHAnsi"/>
          <w:noProof/>
          <w:sz w:val="20"/>
          <w:szCs w:val="20"/>
        </w:rPr>
        <w:t>59. Gruver J, Sonnenberg M, Bay K, Erickson W (2009) Post-Construction Bat and Bird Fatality Study at the Blue Sky Green Field Wind Energy Center, Fond Du Lac County, Wisconsin July 21 - October 31, 2008 and March 15 - June 4, 2009.</w:t>
      </w:r>
      <w:bookmarkEnd w:id="57"/>
    </w:p>
    <w:p w:rsidR="000A2834" w:rsidRPr="000A2834" w:rsidRDefault="000A2834" w:rsidP="000A2834">
      <w:pPr>
        <w:keepLines/>
        <w:spacing w:after="120" w:line="240" w:lineRule="auto"/>
        <w:ind w:left="720" w:hanging="720"/>
        <w:rPr>
          <w:rFonts w:eastAsiaTheme="minorHAnsi"/>
          <w:noProof/>
          <w:sz w:val="20"/>
          <w:szCs w:val="20"/>
        </w:rPr>
      </w:pPr>
      <w:bookmarkStart w:id="58" w:name="_ENREF_60"/>
      <w:r w:rsidRPr="000A2834">
        <w:rPr>
          <w:rFonts w:eastAsiaTheme="minorHAnsi"/>
          <w:noProof/>
          <w:sz w:val="20"/>
          <w:szCs w:val="20"/>
        </w:rPr>
        <w:t>60. Tierney R (2007) Buffalo Gap I Wind Farm Avian Mortality Study: February 2006-January 2007.</w:t>
      </w:r>
      <w:bookmarkEnd w:id="58"/>
    </w:p>
    <w:p w:rsidR="000A2834" w:rsidRPr="000A2834" w:rsidRDefault="000A2834" w:rsidP="000A2834">
      <w:pPr>
        <w:keepLines/>
        <w:spacing w:after="120" w:line="240" w:lineRule="auto"/>
        <w:ind w:left="720" w:hanging="720"/>
        <w:rPr>
          <w:rFonts w:eastAsiaTheme="minorHAnsi"/>
          <w:noProof/>
          <w:sz w:val="20"/>
          <w:szCs w:val="20"/>
        </w:rPr>
      </w:pPr>
      <w:bookmarkStart w:id="59" w:name="_ENREF_61"/>
      <w:r w:rsidRPr="000A2834">
        <w:rPr>
          <w:rFonts w:eastAsiaTheme="minorHAnsi"/>
          <w:noProof/>
          <w:sz w:val="20"/>
          <w:szCs w:val="20"/>
        </w:rPr>
        <w:t>61. Tierney R (2009) Buffalo Gap 2 Wind Farm Avian Mortality Study: July 2007 - December 2008. Final Survey Report.</w:t>
      </w:r>
      <w:bookmarkEnd w:id="59"/>
    </w:p>
    <w:p w:rsidR="000A2834" w:rsidRPr="000A2834" w:rsidRDefault="000A2834" w:rsidP="000A2834">
      <w:pPr>
        <w:keepLines/>
        <w:spacing w:after="120" w:line="240" w:lineRule="auto"/>
        <w:ind w:left="720" w:hanging="720"/>
        <w:rPr>
          <w:rFonts w:eastAsiaTheme="minorHAnsi"/>
          <w:noProof/>
          <w:sz w:val="20"/>
          <w:szCs w:val="20"/>
        </w:rPr>
      </w:pPr>
      <w:bookmarkStart w:id="60" w:name="_ENREF_62"/>
      <w:r w:rsidRPr="000A2834">
        <w:rPr>
          <w:rFonts w:eastAsiaTheme="minorHAnsi"/>
          <w:noProof/>
          <w:sz w:val="20"/>
          <w:szCs w:val="20"/>
        </w:rPr>
        <w:t>62. Johnson GD, Erickson WP, Strickland MD, Shepherd MF, Shepherd DA (2000) Avian Monitoring Studies at the Buffalo Ridge Wind Resource Area, Minnesota: Results of a 4-Year Study. 212 pp.</w:t>
      </w:r>
    </w:p>
    <w:p w:rsidR="000A2834" w:rsidRPr="000A2834" w:rsidRDefault="000A2834" w:rsidP="000A2834">
      <w:pPr>
        <w:keepLines/>
        <w:spacing w:after="120" w:line="240" w:lineRule="auto"/>
        <w:ind w:left="720" w:hanging="720"/>
        <w:rPr>
          <w:rFonts w:eastAsiaTheme="minorHAnsi"/>
          <w:noProof/>
          <w:sz w:val="20"/>
          <w:szCs w:val="20"/>
        </w:rPr>
      </w:pPr>
      <w:r w:rsidRPr="000A2834">
        <w:rPr>
          <w:rFonts w:eastAsiaTheme="minorHAnsi"/>
          <w:noProof/>
          <w:sz w:val="20"/>
          <w:szCs w:val="20"/>
        </w:rPr>
        <w:t>63. Derby C, Chodachek K, Bay K, Merrill A (2010) Post-Construction Fatality Survey for the Buffalo Ridge I Wind Project. May 2009 - May 2010.</w:t>
      </w:r>
      <w:bookmarkEnd w:id="60"/>
    </w:p>
    <w:p w:rsidR="000A2834" w:rsidRPr="000A2834" w:rsidRDefault="000A2834" w:rsidP="000A2834">
      <w:pPr>
        <w:keepLines/>
        <w:spacing w:after="120" w:line="240" w:lineRule="auto"/>
        <w:ind w:left="720" w:hanging="720"/>
        <w:rPr>
          <w:rFonts w:eastAsiaTheme="minorHAnsi"/>
          <w:noProof/>
          <w:sz w:val="20"/>
          <w:szCs w:val="20"/>
        </w:rPr>
      </w:pPr>
      <w:bookmarkStart w:id="61" w:name="_ENREF_63"/>
      <w:r w:rsidRPr="000A2834">
        <w:rPr>
          <w:rFonts w:eastAsiaTheme="minorHAnsi"/>
          <w:noProof/>
          <w:sz w:val="20"/>
          <w:szCs w:val="20"/>
        </w:rPr>
        <w:t>64. Derby C, Chodachek K, Sonnenberg M (2012) Post-Construction Casualty Surveys for the Buffalo Ridge II Wind Project. Iberdrola Renewables: March 2011- February 2012.</w:t>
      </w:r>
      <w:bookmarkEnd w:id="61"/>
    </w:p>
    <w:p w:rsidR="000A2834" w:rsidRPr="000A2834" w:rsidRDefault="000A2834" w:rsidP="000A2834">
      <w:pPr>
        <w:keepLines/>
        <w:spacing w:after="120" w:line="240" w:lineRule="auto"/>
        <w:ind w:left="720" w:hanging="720"/>
        <w:rPr>
          <w:rFonts w:eastAsiaTheme="minorHAnsi"/>
          <w:noProof/>
          <w:sz w:val="20"/>
          <w:szCs w:val="20"/>
        </w:rPr>
      </w:pPr>
      <w:bookmarkStart w:id="62" w:name="_ENREF_64"/>
      <w:r w:rsidRPr="000A2834">
        <w:rPr>
          <w:rFonts w:eastAsiaTheme="minorHAnsi"/>
          <w:noProof/>
          <w:sz w:val="20"/>
          <w:szCs w:val="20"/>
        </w:rPr>
        <w:t>65. BHE Environmental, Inc. (BHE) (2010) Post-Construction Bird and Bat Mortality Study: Cedar Ridge Wind Farm, Fond Du Lac County, Wisconsin.</w:t>
      </w:r>
      <w:bookmarkEnd w:id="62"/>
    </w:p>
    <w:p w:rsidR="000A2834" w:rsidRPr="000A2834" w:rsidRDefault="000A2834" w:rsidP="000A2834">
      <w:pPr>
        <w:keepLines/>
        <w:spacing w:after="120" w:line="240" w:lineRule="auto"/>
        <w:ind w:left="720" w:hanging="720"/>
        <w:rPr>
          <w:rFonts w:eastAsiaTheme="minorHAnsi"/>
          <w:noProof/>
          <w:sz w:val="20"/>
          <w:szCs w:val="20"/>
        </w:rPr>
      </w:pPr>
      <w:bookmarkStart w:id="63" w:name="_ENREF_65"/>
      <w:r w:rsidRPr="000A2834">
        <w:rPr>
          <w:rFonts w:eastAsiaTheme="minorHAnsi"/>
          <w:noProof/>
          <w:sz w:val="20"/>
          <w:szCs w:val="20"/>
        </w:rPr>
        <w:t>66. BHE Environmental, Inc. (BHE) (2011) Post-Construction Bird and Bat Mortality Study: Cedar Ridge Wind Farm, Fond Du Lac County, Wisconsin.</w:t>
      </w:r>
      <w:bookmarkEnd w:id="63"/>
    </w:p>
    <w:p w:rsidR="000A2834" w:rsidRPr="000A2834" w:rsidRDefault="000A2834" w:rsidP="000A2834">
      <w:pPr>
        <w:keepLines/>
        <w:spacing w:after="120" w:line="240" w:lineRule="auto"/>
        <w:ind w:left="720" w:hanging="720"/>
        <w:rPr>
          <w:rFonts w:eastAsiaTheme="minorHAnsi"/>
          <w:noProof/>
          <w:sz w:val="20"/>
          <w:szCs w:val="20"/>
        </w:rPr>
      </w:pPr>
      <w:bookmarkStart w:id="64" w:name="_ENREF_66"/>
      <w:r w:rsidRPr="000A2834">
        <w:rPr>
          <w:rFonts w:eastAsiaTheme="minorHAnsi"/>
          <w:noProof/>
          <w:sz w:val="20"/>
          <w:szCs w:val="20"/>
        </w:rPr>
        <w:t>67. Derby C, Chodachek K, Bay K, Merrill A (2010) Post-Construction Fatality Surveys for the Elm Creek Wind Project: March 2009- February 2010.</w:t>
      </w:r>
      <w:bookmarkEnd w:id="64"/>
    </w:p>
    <w:p w:rsidR="000A2834" w:rsidRPr="000A2834" w:rsidRDefault="000A2834" w:rsidP="000A2834">
      <w:pPr>
        <w:keepLines/>
        <w:spacing w:after="120" w:line="240" w:lineRule="auto"/>
        <w:ind w:left="720" w:hanging="720"/>
        <w:rPr>
          <w:rFonts w:eastAsiaTheme="minorHAnsi"/>
          <w:noProof/>
          <w:sz w:val="20"/>
          <w:szCs w:val="20"/>
        </w:rPr>
      </w:pPr>
      <w:bookmarkStart w:id="65" w:name="_ENREF_67"/>
      <w:r w:rsidRPr="000A2834">
        <w:rPr>
          <w:rFonts w:eastAsiaTheme="minorHAnsi"/>
          <w:noProof/>
          <w:sz w:val="20"/>
          <w:szCs w:val="20"/>
        </w:rPr>
        <w:t>68. Derby C, Chodachek K, Sonnenberg M (2012) Post-Construction Fatality Surveys for the Elm Creek II Wind Project. Iberdrola Renewables: March 2011-February 2012.</w:t>
      </w:r>
      <w:bookmarkStart w:id="66" w:name="_GoBack"/>
      <w:bookmarkEnd w:id="65"/>
      <w:bookmarkEnd w:id="66"/>
    </w:p>
    <w:p w:rsidR="000A2834" w:rsidRPr="000A2834" w:rsidRDefault="000A2834" w:rsidP="000A2834">
      <w:pPr>
        <w:keepLines/>
        <w:spacing w:after="120" w:line="240" w:lineRule="auto"/>
        <w:ind w:left="720" w:hanging="720"/>
        <w:rPr>
          <w:rFonts w:eastAsiaTheme="minorHAnsi"/>
          <w:noProof/>
          <w:sz w:val="20"/>
          <w:szCs w:val="20"/>
        </w:rPr>
      </w:pPr>
      <w:bookmarkStart w:id="67" w:name="_ENREF_68"/>
      <w:r w:rsidRPr="000A2834">
        <w:rPr>
          <w:rFonts w:eastAsiaTheme="minorHAnsi"/>
          <w:noProof/>
          <w:sz w:val="20"/>
          <w:szCs w:val="20"/>
        </w:rPr>
        <w:t>69. Derby C, Ritzert J, Bay K (2010) Bird and Bat Fatality Study, Grand Ridge Wind Resource Area, Lasalle County, Illinois. January 2009 - January 2010.</w:t>
      </w:r>
      <w:bookmarkEnd w:id="67"/>
    </w:p>
    <w:p w:rsidR="000A2834" w:rsidRPr="000A2834" w:rsidRDefault="000A2834" w:rsidP="000A2834">
      <w:pPr>
        <w:keepLines/>
        <w:spacing w:after="120" w:line="240" w:lineRule="auto"/>
        <w:ind w:left="720" w:hanging="720"/>
        <w:rPr>
          <w:rFonts w:eastAsiaTheme="minorHAnsi"/>
          <w:noProof/>
          <w:sz w:val="20"/>
          <w:szCs w:val="20"/>
        </w:rPr>
      </w:pPr>
      <w:bookmarkStart w:id="68" w:name="_ENREF_69"/>
      <w:r w:rsidRPr="000A2834">
        <w:rPr>
          <w:rFonts w:eastAsiaTheme="minorHAnsi"/>
          <w:noProof/>
          <w:sz w:val="20"/>
          <w:szCs w:val="20"/>
        </w:rPr>
        <w:t>70. Derby C, Dahl A, Erickson W, Bay K, Hoban J (2007) Post-Construction Monitoring Report for Avian and Bat Mortality at the NPPD Ainsworth Wind Farm. Unpublished report prepared by Western EcoSystems Technology, Inc. (WEST), Cheyenne, Wyoming, for the Nebraska Public Power District.</w:t>
      </w:r>
      <w:bookmarkEnd w:id="68"/>
    </w:p>
    <w:p w:rsidR="000A2834" w:rsidRPr="000A2834" w:rsidRDefault="000A2834" w:rsidP="000A2834">
      <w:pPr>
        <w:keepLines/>
        <w:spacing w:after="120" w:line="240" w:lineRule="auto"/>
        <w:ind w:left="720" w:hanging="720"/>
        <w:rPr>
          <w:rFonts w:eastAsiaTheme="minorHAnsi"/>
          <w:noProof/>
          <w:sz w:val="20"/>
          <w:szCs w:val="20"/>
        </w:rPr>
      </w:pPr>
      <w:bookmarkStart w:id="69" w:name="_ENREF_70"/>
      <w:r w:rsidRPr="000A2834">
        <w:rPr>
          <w:rFonts w:eastAsiaTheme="minorHAnsi"/>
          <w:noProof/>
          <w:sz w:val="20"/>
          <w:szCs w:val="20"/>
        </w:rPr>
        <w:t>71. Derby C, Dahl A, Merrill A (2012) Post-Construction Monitoring Results for the PrairieWinds SD1 Wind Energy Facility, South Dakota. Final Report: March 2011 - February 2012.</w:t>
      </w:r>
      <w:bookmarkEnd w:id="69"/>
    </w:p>
    <w:p w:rsidR="000A2834" w:rsidRPr="000A2834" w:rsidRDefault="000A2834" w:rsidP="000A2834">
      <w:pPr>
        <w:keepLines/>
        <w:spacing w:after="120" w:line="240" w:lineRule="auto"/>
        <w:ind w:left="720" w:hanging="720"/>
        <w:rPr>
          <w:rFonts w:eastAsiaTheme="minorHAnsi"/>
          <w:noProof/>
          <w:sz w:val="20"/>
          <w:szCs w:val="20"/>
        </w:rPr>
      </w:pPr>
      <w:bookmarkStart w:id="70" w:name="_ENREF_71"/>
      <w:r w:rsidRPr="000A2834">
        <w:rPr>
          <w:rFonts w:eastAsiaTheme="minorHAnsi"/>
          <w:noProof/>
          <w:sz w:val="20"/>
          <w:szCs w:val="20"/>
        </w:rPr>
        <w:t>72. Derby C, Chodachek K, Bay K, Nomani S (2011) Post-Construction Fatality Surveys for the Rugby Wind Project: Iberdrola Renewables, Inc. March 2010 - March 2011.</w:t>
      </w:r>
      <w:bookmarkEnd w:id="70"/>
    </w:p>
    <w:p w:rsidR="000A2834" w:rsidRPr="000A2834" w:rsidRDefault="000A2834" w:rsidP="000A2834">
      <w:pPr>
        <w:keepLines/>
        <w:spacing w:after="120" w:line="240" w:lineRule="auto"/>
        <w:ind w:left="720" w:hanging="720"/>
        <w:rPr>
          <w:rFonts w:eastAsiaTheme="minorHAnsi"/>
          <w:noProof/>
          <w:sz w:val="20"/>
          <w:szCs w:val="20"/>
        </w:rPr>
      </w:pPr>
      <w:bookmarkStart w:id="71" w:name="_ENREF_72"/>
      <w:r w:rsidRPr="000A2834">
        <w:rPr>
          <w:rFonts w:eastAsiaTheme="minorHAnsi"/>
          <w:noProof/>
          <w:sz w:val="20"/>
          <w:szCs w:val="20"/>
        </w:rPr>
        <w:t>73. Derby C, Dahl A, Merrill A, Bay K (2010) 2009 Post-Construction Monitoring Results for the Wessington Springs Wind-Energy Facility, South Dakota. Final Report.</w:t>
      </w:r>
      <w:bookmarkEnd w:id="71"/>
    </w:p>
    <w:p w:rsidR="000A2834" w:rsidRPr="000A2834" w:rsidRDefault="000A2834" w:rsidP="000A2834">
      <w:pPr>
        <w:keepLines/>
        <w:spacing w:after="120" w:line="240" w:lineRule="auto"/>
        <w:ind w:left="720" w:hanging="720"/>
        <w:rPr>
          <w:rFonts w:eastAsiaTheme="minorHAnsi"/>
          <w:noProof/>
          <w:sz w:val="20"/>
          <w:szCs w:val="20"/>
        </w:rPr>
      </w:pPr>
      <w:bookmarkStart w:id="72" w:name="_ENREF_73"/>
      <w:r w:rsidRPr="000A2834">
        <w:rPr>
          <w:rFonts w:eastAsiaTheme="minorHAnsi"/>
          <w:noProof/>
          <w:sz w:val="20"/>
          <w:szCs w:val="20"/>
        </w:rPr>
        <w:t>74. Derby C, Dahl A, Bay K, McManus L (2011) 2010 Post-Construction Monitoring Results for the Wessington Springs Wind Energy Facility, South Dakota. Final Report: March 9 – November 16, 2010.</w:t>
      </w:r>
      <w:bookmarkEnd w:id="72"/>
    </w:p>
    <w:p w:rsidR="000A2834" w:rsidRPr="000A2834" w:rsidRDefault="000A2834" w:rsidP="000A2834">
      <w:pPr>
        <w:keepLines/>
        <w:spacing w:after="120" w:line="240" w:lineRule="auto"/>
        <w:ind w:left="720" w:hanging="720"/>
        <w:rPr>
          <w:rFonts w:eastAsiaTheme="minorHAnsi"/>
          <w:noProof/>
          <w:sz w:val="20"/>
          <w:szCs w:val="20"/>
        </w:rPr>
      </w:pPr>
      <w:bookmarkStart w:id="73" w:name="_ENREF_74"/>
      <w:r w:rsidRPr="000A2834">
        <w:rPr>
          <w:rFonts w:eastAsiaTheme="minorHAnsi"/>
          <w:noProof/>
          <w:sz w:val="20"/>
          <w:szCs w:val="20"/>
        </w:rPr>
        <w:t>75. Derby C, Chodachek K, Bay K, Merrill A (2010) Post-Construction Fatality Surveys for the Winnebago Wind Project: March 2009- February 2010.</w:t>
      </w:r>
      <w:bookmarkEnd w:id="73"/>
    </w:p>
    <w:p w:rsidR="000A2834" w:rsidRPr="000A2834" w:rsidRDefault="000A2834" w:rsidP="000A2834">
      <w:pPr>
        <w:keepLines/>
        <w:spacing w:after="120" w:line="240" w:lineRule="auto"/>
        <w:ind w:left="720" w:hanging="720"/>
        <w:rPr>
          <w:rFonts w:eastAsiaTheme="minorHAnsi"/>
          <w:noProof/>
          <w:sz w:val="20"/>
          <w:szCs w:val="20"/>
        </w:rPr>
      </w:pPr>
      <w:bookmarkStart w:id="74" w:name="_ENREF_75"/>
      <w:r w:rsidRPr="000A2834">
        <w:rPr>
          <w:rFonts w:eastAsiaTheme="minorHAnsi"/>
          <w:noProof/>
          <w:sz w:val="20"/>
          <w:szCs w:val="20"/>
        </w:rPr>
        <w:lastRenderedPageBreak/>
        <w:t>76. Nicholson CP, R.D. Tankersley J, Fiedler JK, Nicholas NS (2005) Assessment and Prediction of Bird and Bat Mortality at Wind Energy Facilities in the Southeastern United States.</w:t>
      </w:r>
      <w:bookmarkEnd w:id="74"/>
    </w:p>
    <w:p w:rsidR="000A2834" w:rsidRPr="000A2834" w:rsidRDefault="000A2834" w:rsidP="000A2834">
      <w:pPr>
        <w:keepLines/>
        <w:spacing w:after="120" w:line="240" w:lineRule="auto"/>
        <w:ind w:left="720" w:hanging="720"/>
        <w:rPr>
          <w:rFonts w:eastAsiaTheme="minorHAnsi"/>
          <w:noProof/>
          <w:sz w:val="20"/>
          <w:szCs w:val="20"/>
        </w:rPr>
      </w:pPr>
      <w:bookmarkStart w:id="75" w:name="_ENREF_76"/>
      <w:r w:rsidRPr="000A2834">
        <w:rPr>
          <w:rFonts w:eastAsiaTheme="minorHAnsi"/>
          <w:noProof/>
          <w:sz w:val="20"/>
          <w:szCs w:val="20"/>
        </w:rPr>
        <w:t>77. Fiedler JK, Henry TH, Tankersley RD, Nicholson CP (2007) Results of Bat and Bird Mortality Monitoring at the Expanded Buffalo Mountain Windfarm, 2005.</w:t>
      </w:r>
      <w:bookmarkEnd w:id="75"/>
    </w:p>
    <w:p w:rsidR="000A2834" w:rsidRPr="000A2834" w:rsidRDefault="000A2834" w:rsidP="000A2834">
      <w:pPr>
        <w:keepLines/>
        <w:spacing w:after="120" w:line="240" w:lineRule="auto"/>
        <w:ind w:left="720" w:hanging="720"/>
        <w:rPr>
          <w:rFonts w:eastAsiaTheme="minorHAnsi"/>
          <w:noProof/>
          <w:sz w:val="20"/>
          <w:szCs w:val="20"/>
        </w:rPr>
      </w:pPr>
      <w:bookmarkStart w:id="76" w:name="_ENREF_77"/>
      <w:r w:rsidRPr="000A2834">
        <w:rPr>
          <w:rFonts w:eastAsiaTheme="minorHAnsi"/>
          <w:noProof/>
          <w:sz w:val="20"/>
          <w:szCs w:val="20"/>
        </w:rPr>
        <w:t>78. Arnett EB, Schirmacher MR, Huso MMP, Hayes JP (2009) Effectiveness of Changing Wind Turbine Cut-in Speed to Reduce Bat Fatalities at Wind Facilities: 2008 Annual Report.</w:t>
      </w:r>
      <w:bookmarkEnd w:id="76"/>
    </w:p>
    <w:p w:rsidR="000A2834" w:rsidRPr="000A2834" w:rsidRDefault="000A2834" w:rsidP="000A2834">
      <w:pPr>
        <w:keepLines/>
        <w:spacing w:after="120" w:line="240" w:lineRule="auto"/>
        <w:ind w:left="720" w:hanging="720"/>
        <w:rPr>
          <w:rFonts w:eastAsiaTheme="minorHAnsi"/>
          <w:noProof/>
          <w:sz w:val="20"/>
          <w:szCs w:val="20"/>
        </w:rPr>
      </w:pPr>
      <w:bookmarkStart w:id="77" w:name="_ENREF_78"/>
      <w:r w:rsidRPr="000A2834">
        <w:rPr>
          <w:rFonts w:eastAsiaTheme="minorHAnsi"/>
          <w:noProof/>
          <w:sz w:val="20"/>
          <w:szCs w:val="20"/>
        </w:rPr>
        <w:t>79. Arnett EB, Schirmacher MR, Huso MMP, Hayes JP (2010) Patterns of Bat Fatality at the Casselman Wind Project in South-Central Pennsylvania.</w:t>
      </w:r>
      <w:bookmarkEnd w:id="77"/>
    </w:p>
    <w:p w:rsidR="000A2834" w:rsidRPr="000A2834" w:rsidRDefault="000A2834" w:rsidP="000A2834">
      <w:pPr>
        <w:keepLines/>
        <w:spacing w:after="120" w:line="240" w:lineRule="auto"/>
        <w:ind w:left="720" w:hanging="720"/>
        <w:rPr>
          <w:rFonts w:eastAsiaTheme="minorHAnsi"/>
          <w:noProof/>
          <w:sz w:val="20"/>
          <w:szCs w:val="20"/>
        </w:rPr>
      </w:pPr>
      <w:bookmarkStart w:id="78" w:name="_ENREF_79"/>
      <w:r w:rsidRPr="000A2834">
        <w:rPr>
          <w:rFonts w:eastAsiaTheme="minorHAnsi"/>
          <w:noProof/>
          <w:sz w:val="20"/>
          <w:szCs w:val="20"/>
        </w:rPr>
        <w:t>80. Stantec Consulting, Inc. (Stantec) (2010) Cohocton and Dutch Hill Wind Farms Year 1 Post-Construction Monitoring Report, 2009, for the Cohocton and Dutch Hill Wind Farms in Cohocton, New York.</w:t>
      </w:r>
      <w:bookmarkEnd w:id="78"/>
    </w:p>
    <w:p w:rsidR="000A2834" w:rsidRPr="000A2834" w:rsidRDefault="000A2834" w:rsidP="000A2834">
      <w:pPr>
        <w:keepLines/>
        <w:spacing w:after="120" w:line="240" w:lineRule="auto"/>
        <w:ind w:left="720" w:hanging="720"/>
        <w:rPr>
          <w:rFonts w:eastAsiaTheme="minorHAnsi"/>
          <w:noProof/>
          <w:sz w:val="20"/>
          <w:szCs w:val="20"/>
        </w:rPr>
      </w:pPr>
      <w:bookmarkStart w:id="79" w:name="_ENREF_80"/>
      <w:r w:rsidRPr="000A2834">
        <w:rPr>
          <w:rFonts w:eastAsiaTheme="minorHAnsi"/>
          <w:noProof/>
          <w:sz w:val="20"/>
          <w:szCs w:val="20"/>
        </w:rPr>
        <w:t>81. Stantec Consulting, Inc. (Stantec) (2011) Cohocton and Dutch Hill Wind Farms Year 2 Post-Construction Monitoring Report, 2010, for the Cohocton and Dutch Hill Wind Farms in Cohocton, New York.</w:t>
      </w:r>
      <w:bookmarkEnd w:id="79"/>
    </w:p>
    <w:p w:rsidR="000A2834" w:rsidRPr="000A2834" w:rsidRDefault="000A2834" w:rsidP="000A2834">
      <w:pPr>
        <w:keepLines/>
        <w:spacing w:after="120" w:line="240" w:lineRule="auto"/>
        <w:ind w:left="720" w:hanging="720"/>
        <w:rPr>
          <w:rFonts w:eastAsiaTheme="minorHAnsi"/>
          <w:noProof/>
          <w:sz w:val="20"/>
          <w:szCs w:val="20"/>
        </w:rPr>
      </w:pPr>
      <w:bookmarkStart w:id="80" w:name="_ENREF_81"/>
      <w:r w:rsidRPr="000A2834">
        <w:rPr>
          <w:rFonts w:eastAsiaTheme="minorHAnsi"/>
          <w:noProof/>
          <w:sz w:val="20"/>
          <w:szCs w:val="20"/>
        </w:rPr>
        <w:t>82. Arnett EB, Schirmacher MR, Hein CD, Huso MMP (2011) Patterns of Bird and Bat Fatality at the Locust Ridge II Wind Project, Pennsylvania. 2009-2010 Final Report.</w:t>
      </w:r>
      <w:bookmarkEnd w:id="80"/>
    </w:p>
    <w:p w:rsidR="000A2834" w:rsidRPr="000A2834" w:rsidRDefault="000A2834" w:rsidP="000A2834">
      <w:pPr>
        <w:keepLines/>
        <w:spacing w:after="120" w:line="240" w:lineRule="auto"/>
        <w:ind w:left="720" w:hanging="720"/>
        <w:rPr>
          <w:rFonts w:eastAsiaTheme="minorHAnsi"/>
          <w:noProof/>
          <w:sz w:val="20"/>
          <w:szCs w:val="20"/>
        </w:rPr>
      </w:pPr>
      <w:bookmarkStart w:id="81" w:name="_ENREF_82"/>
      <w:r w:rsidRPr="000A2834">
        <w:rPr>
          <w:rFonts w:eastAsiaTheme="minorHAnsi"/>
          <w:noProof/>
          <w:sz w:val="20"/>
          <w:szCs w:val="20"/>
        </w:rPr>
        <w:t>83. Kerns J, Kerlinger P (2004) A Study of Bird and Bat Collisions at the Mountaineer Wind Energy Facility, Tucker County, West Virginia: Annual Report for 2003. Technical report prepared by Curry and Kerlinger, LLC., for FPL Energy and Mountaineer Wind Energy Center Technical Review Committee. Curry and Kerlinger, LLC. 39 pp p.</w:t>
      </w:r>
      <w:bookmarkEnd w:id="81"/>
    </w:p>
    <w:p w:rsidR="000A2834" w:rsidRPr="000A2834" w:rsidRDefault="000A2834" w:rsidP="000A2834">
      <w:pPr>
        <w:keepLines/>
        <w:spacing w:after="120" w:line="240" w:lineRule="auto"/>
        <w:ind w:left="720" w:hanging="720"/>
        <w:rPr>
          <w:rFonts w:eastAsiaTheme="minorHAnsi"/>
          <w:noProof/>
          <w:sz w:val="20"/>
          <w:szCs w:val="20"/>
        </w:rPr>
      </w:pPr>
      <w:bookmarkStart w:id="82" w:name="_ENREF_83"/>
      <w:r w:rsidRPr="000A2834">
        <w:rPr>
          <w:rFonts w:eastAsiaTheme="minorHAnsi"/>
          <w:noProof/>
          <w:sz w:val="20"/>
          <w:szCs w:val="20"/>
        </w:rPr>
        <w:t>84. Stantec Consulting, Inc. (Stantec) (2009) Post-Construction Monitoring at the Munnsville Wind Farm, New York: 2008.</w:t>
      </w:r>
      <w:bookmarkEnd w:id="82"/>
    </w:p>
    <w:p w:rsidR="000A2834" w:rsidRPr="000A2834" w:rsidRDefault="000A2834" w:rsidP="000A2834">
      <w:pPr>
        <w:keepLines/>
        <w:spacing w:after="120" w:line="240" w:lineRule="auto"/>
        <w:ind w:left="720" w:hanging="720"/>
        <w:rPr>
          <w:rFonts w:eastAsiaTheme="minorHAnsi"/>
          <w:noProof/>
          <w:sz w:val="20"/>
          <w:szCs w:val="20"/>
        </w:rPr>
      </w:pPr>
      <w:bookmarkStart w:id="83" w:name="_ENREF_84"/>
      <w:r w:rsidRPr="000A2834">
        <w:rPr>
          <w:rFonts w:eastAsiaTheme="minorHAnsi"/>
          <w:noProof/>
          <w:sz w:val="20"/>
          <w:szCs w:val="20"/>
        </w:rPr>
        <w:t>85. Jacques Whitford Stantec Limited (Jacques Whitford) (2009) Ripley Wind Power Project Postconstruction Monitoring Report.</w:t>
      </w:r>
      <w:bookmarkEnd w:id="83"/>
    </w:p>
    <w:p w:rsidR="000A2834" w:rsidRPr="000A2834" w:rsidRDefault="000A2834" w:rsidP="000A2834">
      <w:pPr>
        <w:keepLines/>
        <w:spacing w:after="120" w:line="240" w:lineRule="auto"/>
        <w:ind w:left="720" w:hanging="720"/>
        <w:rPr>
          <w:rFonts w:eastAsiaTheme="minorHAnsi"/>
          <w:noProof/>
          <w:sz w:val="20"/>
          <w:szCs w:val="20"/>
        </w:rPr>
      </w:pPr>
      <w:bookmarkStart w:id="84" w:name="_ENREF_85"/>
      <w:r w:rsidRPr="000A2834">
        <w:rPr>
          <w:rFonts w:eastAsiaTheme="minorHAnsi"/>
          <w:noProof/>
          <w:sz w:val="20"/>
          <w:szCs w:val="20"/>
        </w:rPr>
        <w:t>86. Tidhar D, McManus L, Courage Z, Tidhar WL (2012) 2010 Post-Construction Fatality Monitoring Study and Bat Acoustic Study for the High Sheldon Wind Farm, Wyoming County, New York. Final Report: April 15 - November 15, 2010.</w:t>
      </w:r>
      <w:bookmarkEnd w:id="84"/>
    </w:p>
    <w:p w:rsidR="000A2834" w:rsidRPr="000A2834" w:rsidRDefault="000A2834" w:rsidP="000A2834">
      <w:pPr>
        <w:keepLines/>
        <w:spacing w:after="120" w:line="240" w:lineRule="auto"/>
        <w:ind w:left="720" w:hanging="720"/>
        <w:rPr>
          <w:rFonts w:eastAsiaTheme="minorHAnsi"/>
          <w:noProof/>
          <w:sz w:val="20"/>
          <w:szCs w:val="20"/>
        </w:rPr>
      </w:pPr>
      <w:bookmarkStart w:id="85" w:name="_ENREF_86"/>
      <w:r w:rsidRPr="000A2834">
        <w:rPr>
          <w:rFonts w:eastAsiaTheme="minorHAnsi"/>
          <w:noProof/>
          <w:sz w:val="20"/>
          <w:szCs w:val="20"/>
        </w:rPr>
        <w:t>87. Tidhar D, McManus L, Solick D, Courage Z, Bay K (2012) 2011 Post-Construction Fatality Monitoring Study and Bat Acoustic Study for the High Sheldon Wind Farm, Wyoming County, New York. Final Report: April 15 - November 15, 2011.</w:t>
      </w:r>
      <w:bookmarkEnd w:id="85"/>
    </w:p>
    <w:p w:rsidR="000A2834" w:rsidRPr="000A2834" w:rsidRDefault="000A2834" w:rsidP="000A2834">
      <w:pPr>
        <w:keepLines/>
        <w:spacing w:after="120" w:line="240" w:lineRule="auto"/>
        <w:ind w:left="720" w:hanging="720"/>
        <w:rPr>
          <w:rFonts w:eastAsiaTheme="minorHAnsi"/>
          <w:noProof/>
          <w:sz w:val="20"/>
          <w:szCs w:val="20"/>
        </w:rPr>
      </w:pPr>
      <w:bookmarkStart w:id="86" w:name="_ENREF_87"/>
      <w:r w:rsidRPr="000A2834">
        <w:rPr>
          <w:rFonts w:eastAsiaTheme="minorHAnsi"/>
          <w:noProof/>
          <w:sz w:val="20"/>
          <w:szCs w:val="20"/>
        </w:rPr>
        <w:t>88. Kronner K, Gritski R, Downes S (2008) Big Horn Wind Power Project Wildlife Fatality Monitoring Study: 2006−2007.</w:t>
      </w:r>
      <w:bookmarkEnd w:id="86"/>
    </w:p>
    <w:p w:rsidR="000A2834" w:rsidRPr="000A2834" w:rsidRDefault="000A2834" w:rsidP="000A2834">
      <w:pPr>
        <w:keepLines/>
        <w:spacing w:after="120" w:line="240" w:lineRule="auto"/>
        <w:ind w:left="720" w:hanging="720"/>
        <w:rPr>
          <w:rFonts w:eastAsiaTheme="minorHAnsi"/>
          <w:noProof/>
          <w:sz w:val="20"/>
          <w:szCs w:val="20"/>
        </w:rPr>
      </w:pPr>
      <w:bookmarkStart w:id="87" w:name="_ENREF_88"/>
      <w:r w:rsidRPr="000A2834">
        <w:rPr>
          <w:rFonts w:eastAsiaTheme="minorHAnsi"/>
          <w:noProof/>
          <w:sz w:val="20"/>
          <w:szCs w:val="20"/>
        </w:rPr>
        <w:t>89. Downes S, Gritski R (2012) Harvest Wind Project Wildlife Monitoring Report: January 2010 – January 2012.</w:t>
      </w:r>
      <w:bookmarkEnd w:id="87"/>
    </w:p>
    <w:p w:rsidR="000A2834" w:rsidRPr="000A2834" w:rsidRDefault="000A2834" w:rsidP="000A2834">
      <w:pPr>
        <w:keepLines/>
        <w:spacing w:after="120" w:line="240" w:lineRule="auto"/>
        <w:ind w:left="720" w:hanging="720"/>
        <w:rPr>
          <w:rFonts w:eastAsiaTheme="minorHAnsi"/>
          <w:noProof/>
          <w:sz w:val="20"/>
          <w:szCs w:val="20"/>
        </w:rPr>
      </w:pPr>
      <w:bookmarkStart w:id="88" w:name="_ENREF_89"/>
      <w:r w:rsidRPr="000A2834">
        <w:rPr>
          <w:rFonts w:eastAsiaTheme="minorHAnsi"/>
          <w:noProof/>
          <w:sz w:val="20"/>
          <w:szCs w:val="20"/>
        </w:rPr>
        <w:t>90. Gritski R, Kronner K, Downes S (2008) Leaning Juniper Wind Power Project, 2006 − 2008. Wildlife Monitoring Final Report.</w:t>
      </w:r>
      <w:bookmarkEnd w:id="88"/>
    </w:p>
    <w:p w:rsidR="000A2834" w:rsidRPr="000A2834" w:rsidRDefault="000A2834" w:rsidP="000A2834">
      <w:pPr>
        <w:keepLines/>
        <w:spacing w:after="120" w:line="240" w:lineRule="auto"/>
        <w:ind w:left="720" w:hanging="720"/>
        <w:rPr>
          <w:rFonts w:eastAsiaTheme="minorHAnsi"/>
          <w:noProof/>
          <w:sz w:val="20"/>
          <w:szCs w:val="20"/>
        </w:rPr>
      </w:pPr>
      <w:bookmarkStart w:id="89" w:name="_ENREF_90"/>
      <w:r w:rsidRPr="000A2834">
        <w:rPr>
          <w:rFonts w:eastAsiaTheme="minorHAnsi"/>
          <w:noProof/>
          <w:sz w:val="20"/>
          <w:szCs w:val="20"/>
        </w:rPr>
        <w:t>91. Gritski R, Kronner K (2010) Pebble Springs Wind Power Project Wildlife Monitoring Study: January 2009 - January 2010.</w:t>
      </w:r>
      <w:bookmarkEnd w:id="89"/>
    </w:p>
    <w:p w:rsidR="000A2834" w:rsidRPr="000A2834" w:rsidRDefault="000A2834" w:rsidP="000A2834">
      <w:pPr>
        <w:keepLines/>
        <w:spacing w:after="120" w:line="240" w:lineRule="auto"/>
        <w:ind w:left="720" w:hanging="720"/>
        <w:rPr>
          <w:rFonts w:eastAsiaTheme="minorHAnsi"/>
          <w:noProof/>
          <w:sz w:val="20"/>
          <w:szCs w:val="20"/>
        </w:rPr>
      </w:pPr>
      <w:bookmarkStart w:id="90" w:name="_ENREF_91"/>
      <w:r w:rsidRPr="000A2834">
        <w:rPr>
          <w:rFonts w:eastAsiaTheme="minorHAnsi"/>
          <w:noProof/>
          <w:sz w:val="20"/>
          <w:szCs w:val="20"/>
        </w:rPr>
        <w:t>92. Brown WK, Hamilton BL (2006) Monitoring of Bird and Bat Collisions with Wind Turbines at the Summerview Wind Power Project, Alberta: 2005-2006.</w:t>
      </w:r>
      <w:bookmarkEnd w:id="90"/>
    </w:p>
    <w:p w:rsidR="000A2834" w:rsidRPr="000A2834" w:rsidRDefault="000A2834" w:rsidP="000A2834">
      <w:pPr>
        <w:keepLines/>
        <w:spacing w:after="120" w:line="240" w:lineRule="auto"/>
        <w:ind w:left="720" w:hanging="720"/>
        <w:rPr>
          <w:rFonts w:eastAsiaTheme="minorHAnsi"/>
          <w:noProof/>
          <w:sz w:val="20"/>
          <w:szCs w:val="20"/>
        </w:rPr>
      </w:pPr>
      <w:bookmarkStart w:id="91" w:name="_ENREF_92"/>
      <w:r w:rsidRPr="000A2834">
        <w:rPr>
          <w:rFonts w:eastAsiaTheme="minorHAnsi"/>
          <w:noProof/>
          <w:sz w:val="20"/>
          <w:szCs w:val="20"/>
        </w:rPr>
        <w:t>93. Enz T, Bay K (2010) Post-Construction Avian and Bat Fatality Monitoring Study, Tuolumne Wind Project, Klickitat County, Washington. Final Report: April 20, 2009 - April 7, 2010.</w:t>
      </w:r>
      <w:bookmarkEnd w:id="91"/>
    </w:p>
    <w:p w:rsidR="000A2834" w:rsidRPr="000A2834" w:rsidRDefault="000A2834" w:rsidP="000A2834">
      <w:pPr>
        <w:keepLines/>
        <w:spacing w:after="120" w:line="240" w:lineRule="auto"/>
        <w:ind w:left="720" w:hanging="720"/>
        <w:rPr>
          <w:rFonts w:eastAsiaTheme="minorHAnsi"/>
          <w:noProof/>
          <w:sz w:val="20"/>
          <w:szCs w:val="20"/>
        </w:rPr>
      </w:pPr>
      <w:bookmarkStart w:id="92" w:name="_ENREF_93"/>
      <w:r w:rsidRPr="000A2834">
        <w:rPr>
          <w:rFonts w:eastAsiaTheme="minorHAnsi"/>
          <w:noProof/>
          <w:sz w:val="20"/>
          <w:szCs w:val="20"/>
        </w:rPr>
        <w:t>94. Downes S, Gritski R (2012) White Creek Wind I Wildlife Monitoring Report: November 2007 - November 2011.</w:t>
      </w:r>
      <w:bookmarkEnd w:id="92"/>
    </w:p>
    <w:p w:rsidR="000A2834" w:rsidRPr="000A2834" w:rsidRDefault="000A2834" w:rsidP="000A2834">
      <w:pPr>
        <w:keepLines/>
        <w:spacing w:after="120" w:line="240" w:lineRule="auto"/>
        <w:ind w:left="720" w:hanging="720"/>
        <w:rPr>
          <w:rFonts w:eastAsiaTheme="minorHAnsi"/>
          <w:noProof/>
          <w:sz w:val="20"/>
          <w:szCs w:val="20"/>
        </w:rPr>
      </w:pPr>
      <w:bookmarkStart w:id="93" w:name="_ENREF_94"/>
      <w:r w:rsidRPr="000A2834">
        <w:rPr>
          <w:rFonts w:eastAsiaTheme="minorHAnsi"/>
          <w:noProof/>
          <w:sz w:val="20"/>
          <w:szCs w:val="20"/>
        </w:rPr>
        <w:t>95. Tidhar D, Tidhar W, Sonnenberg M (2010) Post-Construction Fatality Surveys for Lempster Wind Project, Iberdrola Renewables. Prepared for Lempster Wind, LLC, Lempster Wind Technical Advisory Committee, and Iberdrola Renewables, Inc.</w:t>
      </w:r>
      <w:bookmarkEnd w:id="93"/>
    </w:p>
    <w:p w:rsidR="000A2834" w:rsidRPr="000A2834" w:rsidRDefault="000A2834" w:rsidP="000A2834">
      <w:pPr>
        <w:keepLines/>
        <w:spacing w:after="120" w:line="240" w:lineRule="auto"/>
        <w:ind w:left="720" w:hanging="720"/>
        <w:rPr>
          <w:rFonts w:eastAsiaTheme="minorHAnsi"/>
          <w:noProof/>
          <w:sz w:val="20"/>
          <w:szCs w:val="20"/>
        </w:rPr>
      </w:pPr>
      <w:bookmarkStart w:id="94" w:name="_ENREF_95"/>
      <w:r w:rsidRPr="000A2834">
        <w:rPr>
          <w:rFonts w:eastAsiaTheme="minorHAnsi"/>
          <w:noProof/>
          <w:sz w:val="20"/>
          <w:szCs w:val="20"/>
        </w:rPr>
        <w:lastRenderedPageBreak/>
        <w:t>96. Stantec Consulting, Inc. (Stantec) (2008) 2007 Spring, Summer, and Fall Post-Construction Bird and Bat Mortality Study at the Mars Hill Wind Farm, Maine.</w:t>
      </w:r>
      <w:bookmarkEnd w:id="94"/>
    </w:p>
    <w:p w:rsidR="000A2834" w:rsidRPr="000A2834" w:rsidRDefault="000A2834" w:rsidP="000A2834">
      <w:pPr>
        <w:keepLines/>
        <w:spacing w:after="120" w:line="240" w:lineRule="auto"/>
        <w:ind w:left="720" w:hanging="720"/>
        <w:rPr>
          <w:rFonts w:eastAsiaTheme="minorHAnsi"/>
          <w:noProof/>
          <w:sz w:val="20"/>
          <w:szCs w:val="20"/>
        </w:rPr>
      </w:pPr>
      <w:bookmarkStart w:id="95" w:name="_ENREF_96"/>
      <w:r w:rsidRPr="000A2834">
        <w:rPr>
          <w:rFonts w:eastAsiaTheme="minorHAnsi"/>
          <w:noProof/>
          <w:sz w:val="20"/>
          <w:szCs w:val="20"/>
        </w:rPr>
        <w:t>97. Stantec Consulting, Inc. (Stantec) (2009) Post-Construction Monitoring at the Mars Hill Wind Farm, Maine - Year 2, 2008.</w:t>
      </w:r>
      <w:bookmarkEnd w:id="95"/>
    </w:p>
    <w:p w:rsidR="000A2834" w:rsidRPr="000A2834" w:rsidRDefault="000A2834" w:rsidP="000A2834">
      <w:pPr>
        <w:keepLines/>
        <w:spacing w:after="120" w:line="240" w:lineRule="auto"/>
        <w:ind w:left="720" w:hanging="720"/>
        <w:rPr>
          <w:rFonts w:eastAsiaTheme="minorHAnsi"/>
          <w:noProof/>
          <w:sz w:val="20"/>
          <w:szCs w:val="20"/>
        </w:rPr>
      </w:pPr>
      <w:bookmarkStart w:id="96" w:name="_ENREF_97"/>
      <w:r w:rsidRPr="000A2834">
        <w:rPr>
          <w:rFonts w:eastAsiaTheme="minorHAnsi"/>
          <w:noProof/>
          <w:sz w:val="20"/>
          <w:szCs w:val="20"/>
        </w:rPr>
        <w:t>98. Stantec Consulting, Inc. (Stantec) (2009) Stetson I Mountain Wind Project: Year 1 Post-Construction Monitoring Report, 2009 for the Stetson Mountain Wind Project in Penobscot and Washington Counties, Maine.</w:t>
      </w:r>
      <w:bookmarkEnd w:id="96"/>
    </w:p>
    <w:p w:rsidR="000A2834" w:rsidRPr="000A2834" w:rsidRDefault="000A2834" w:rsidP="000A2834">
      <w:pPr>
        <w:keepLines/>
        <w:spacing w:after="120" w:line="240" w:lineRule="auto"/>
        <w:ind w:left="720" w:hanging="720"/>
        <w:rPr>
          <w:rFonts w:eastAsiaTheme="minorHAnsi"/>
          <w:noProof/>
          <w:sz w:val="20"/>
          <w:szCs w:val="20"/>
        </w:rPr>
      </w:pPr>
      <w:bookmarkStart w:id="97" w:name="_ENREF_98"/>
      <w:r w:rsidRPr="000A2834">
        <w:rPr>
          <w:rFonts w:eastAsiaTheme="minorHAnsi"/>
          <w:noProof/>
          <w:sz w:val="20"/>
          <w:szCs w:val="20"/>
        </w:rPr>
        <w:t>99. Normandeau Associates, Inc. (2011) Year 3 Post- Construction Avian and Bat Casualty Monitoring at the Stetson I Wind Farm, T8 R4 NBPP, Maine.</w:t>
      </w:r>
      <w:bookmarkEnd w:id="97"/>
    </w:p>
    <w:p w:rsidR="000A2834" w:rsidRPr="000A2834" w:rsidRDefault="000A2834" w:rsidP="000A2834">
      <w:pPr>
        <w:keepLines/>
        <w:spacing w:after="120" w:line="240" w:lineRule="auto"/>
        <w:ind w:left="720" w:hanging="720"/>
        <w:rPr>
          <w:rFonts w:eastAsiaTheme="minorHAnsi"/>
          <w:noProof/>
          <w:sz w:val="20"/>
          <w:szCs w:val="20"/>
        </w:rPr>
      </w:pPr>
      <w:bookmarkStart w:id="98" w:name="_ENREF_99"/>
      <w:r w:rsidRPr="000A2834">
        <w:rPr>
          <w:rFonts w:eastAsiaTheme="minorHAnsi"/>
          <w:noProof/>
          <w:sz w:val="20"/>
          <w:szCs w:val="20"/>
        </w:rPr>
        <w:t>100. Normandeau Associates, Inc. (2010) Stetson Mountain II Wind Project Year 1 Post-Construction Avian and Bat Mortality Monitoring Study, T8 R4 NBPP, Maine.</w:t>
      </w:r>
      <w:bookmarkEnd w:id="98"/>
    </w:p>
    <w:p w:rsidR="000A2834" w:rsidRPr="000A2834" w:rsidRDefault="000A2834" w:rsidP="000A2834">
      <w:pPr>
        <w:keepLines/>
        <w:spacing w:after="120" w:line="240" w:lineRule="auto"/>
        <w:ind w:left="720" w:hanging="720"/>
        <w:rPr>
          <w:rFonts w:eastAsiaTheme="minorHAnsi"/>
          <w:noProof/>
          <w:sz w:val="20"/>
          <w:szCs w:val="20"/>
        </w:rPr>
      </w:pPr>
      <w:bookmarkStart w:id="99" w:name="_ENREF_100"/>
      <w:r w:rsidRPr="000A2834">
        <w:rPr>
          <w:rFonts w:eastAsiaTheme="minorHAnsi"/>
          <w:noProof/>
          <w:sz w:val="20"/>
          <w:szCs w:val="20"/>
        </w:rPr>
        <w:t>101. Kerlinger P, Curry R, Culp L, Jain A, Wilkerson C, et al. (2006) Post-Construction Avian and Bat Fatality Monitoring for the High Winds Wind Power Project, Solano County, California: Two Year Report.</w:t>
      </w:r>
      <w:bookmarkEnd w:id="99"/>
    </w:p>
    <w:p w:rsidR="000A2834" w:rsidRPr="000A2834" w:rsidRDefault="000A2834" w:rsidP="000A2834">
      <w:pPr>
        <w:keepLines/>
        <w:spacing w:after="120" w:line="240" w:lineRule="auto"/>
        <w:ind w:left="720" w:hanging="720"/>
        <w:rPr>
          <w:rFonts w:eastAsiaTheme="minorHAnsi"/>
          <w:noProof/>
          <w:sz w:val="20"/>
          <w:szCs w:val="20"/>
        </w:rPr>
      </w:pPr>
      <w:bookmarkStart w:id="100" w:name="_ENREF_101"/>
      <w:r w:rsidRPr="000A2834">
        <w:rPr>
          <w:rFonts w:eastAsiaTheme="minorHAnsi"/>
          <w:noProof/>
          <w:sz w:val="20"/>
          <w:szCs w:val="20"/>
        </w:rPr>
        <w:t>102. Derby C, Chodachek K, Bay K, Nomani S (2011) Post-Construction Fatality Surveys for the Barton I and II Wind Project: IRI. March 2010 - February 2011.</w:t>
      </w:r>
      <w:bookmarkEnd w:id="100"/>
    </w:p>
    <w:p w:rsidR="000A2834" w:rsidRPr="000A2834" w:rsidRDefault="000A2834" w:rsidP="000A2834">
      <w:pPr>
        <w:keepLines/>
        <w:spacing w:after="120" w:line="240" w:lineRule="auto"/>
        <w:ind w:left="720" w:hanging="720"/>
        <w:rPr>
          <w:rFonts w:eastAsiaTheme="minorHAnsi"/>
          <w:noProof/>
          <w:sz w:val="20"/>
          <w:szCs w:val="20"/>
        </w:rPr>
      </w:pPr>
      <w:bookmarkStart w:id="101" w:name="_ENREF_102"/>
      <w:r w:rsidRPr="000A2834">
        <w:rPr>
          <w:rFonts w:eastAsiaTheme="minorHAnsi"/>
          <w:noProof/>
          <w:sz w:val="20"/>
          <w:szCs w:val="20"/>
        </w:rPr>
        <w:t>103. Howe RW, Evans W, Wolf AT (2002) Effects of Wind Turbines on Birds and Bats in Northeastern Wisconsin. 104 pp p.</w:t>
      </w:r>
      <w:bookmarkEnd w:id="101"/>
    </w:p>
    <w:p w:rsidR="000A2834" w:rsidRPr="000A2834" w:rsidRDefault="000A2834" w:rsidP="000A2834">
      <w:pPr>
        <w:keepLines/>
        <w:spacing w:after="120" w:line="240" w:lineRule="auto"/>
        <w:ind w:left="720" w:hanging="720"/>
        <w:rPr>
          <w:rFonts w:eastAsiaTheme="minorHAnsi"/>
          <w:noProof/>
          <w:sz w:val="20"/>
          <w:szCs w:val="20"/>
        </w:rPr>
      </w:pPr>
      <w:bookmarkStart w:id="102" w:name="_ENREF_103"/>
      <w:r w:rsidRPr="000A2834">
        <w:rPr>
          <w:rFonts w:eastAsiaTheme="minorHAnsi"/>
          <w:noProof/>
          <w:sz w:val="20"/>
          <w:szCs w:val="20"/>
        </w:rPr>
        <w:t>104. Derby C, Chodachek K, Bay K, Merrill A (2010) Post-Construction Fatality Surveys for the Moraine II Wind Project: March - December 2009.</w:t>
      </w:r>
      <w:bookmarkEnd w:id="102"/>
    </w:p>
    <w:p w:rsidR="000A2834" w:rsidRPr="000A2834" w:rsidRDefault="000A2834" w:rsidP="000A2834">
      <w:pPr>
        <w:keepLines/>
        <w:spacing w:after="120" w:line="240" w:lineRule="auto"/>
        <w:ind w:left="720" w:hanging="720"/>
        <w:rPr>
          <w:rFonts w:eastAsiaTheme="minorHAnsi"/>
          <w:noProof/>
          <w:sz w:val="20"/>
          <w:szCs w:val="20"/>
        </w:rPr>
      </w:pPr>
      <w:bookmarkStart w:id="103" w:name="_ENREF_104"/>
      <w:r w:rsidRPr="000A2834">
        <w:rPr>
          <w:rFonts w:eastAsiaTheme="minorHAnsi"/>
          <w:noProof/>
          <w:sz w:val="20"/>
          <w:szCs w:val="20"/>
        </w:rPr>
        <w:t>105. Chodachek K, Derby C, Sonnenberg M, Thorn T (2012) Post-Construction Fatality Surveys for the Pioneer Prairie Wind Farm I LLC Phase II, Mitchell County, Iowa: April 4, 2011 – March 31, 2012.</w:t>
      </w:r>
      <w:bookmarkEnd w:id="103"/>
    </w:p>
    <w:p w:rsidR="000A2834" w:rsidRPr="000A2834" w:rsidRDefault="000A2834" w:rsidP="000A2834">
      <w:pPr>
        <w:keepLines/>
        <w:spacing w:after="120" w:line="240" w:lineRule="auto"/>
        <w:ind w:left="720" w:hanging="720"/>
        <w:rPr>
          <w:rFonts w:eastAsiaTheme="minorHAnsi"/>
          <w:noProof/>
          <w:sz w:val="20"/>
          <w:szCs w:val="20"/>
        </w:rPr>
      </w:pPr>
      <w:bookmarkStart w:id="104" w:name="_ENREF_105"/>
      <w:r w:rsidRPr="000A2834">
        <w:rPr>
          <w:rFonts w:eastAsiaTheme="minorHAnsi"/>
          <w:noProof/>
          <w:sz w:val="20"/>
          <w:szCs w:val="20"/>
        </w:rPr>
        <w:t>106. Derby C, Chodachek K, Thorn T, Bay K, Nomani S (2011) Post-Construction Fatality Surveys for the PrairieWinds ND1 Wind Facility, Basin Electric Power Cooperative, March - November 2010.</w:t>
      </w:r>
      <w:bookmarkEnd w:id="104"/>
    </w:p>
    <w:p w:rsidR="000A2834" w:rsidRPr="000A2834" w:rsidRDefault="000A2834" w:rsidP="000A2834">
      <w:pPr>
        <w:keepLines/>
        <w:spacing w:after="120" w:line="240" w:lineRule="auto"/>
        <w:ind w:left="720" w:hanging="720"/>
        <w:rPr>
          <w:rFonts w:eastAsiaTheme="minorHAnsi"/>
          <w:noProof/>
          <w:sz w:val="20"/>
          <w:szCs w:val="20"/>
        </w:rPr>
      </w:pPr>
      <w:bookmarkStart w:id="105" w:name="_ENREF_106"/>
      <w:r w:rsidRPr="000A2834">
        <w:rPr>
          <w:rFonts w:eastAsiaTheme="minorHAnsi"/>
          <w:noProof/>
          <w:sz w:val="20"/>
          <w:szCs w:val="20"/>
        </w:rPr>
        <w:t>107. Derby C, Chodachek K, Thorn T, Merrill A (2012) Post-Construction Surveys for the PrairieWinds ND1 (2011) Wind Facility Basin Electric Power Cooperative: March - October 2011.</w:t>
      </w:r>
      <w:bookmarkEnd w:id="105"/>
    </w:p>
    <w:p w:rsidR="000A2834" w:rsidRPr="000A2834" w:rsidRDefault="000A2834" w:rsidP="000A2834">
      <w:pPr>
        <w:keepLines/>
        <w:spacing w:after="120" w:line="240" w:lineRule="auto"/>
        <w:ind w:left="720" w:hanging="720"/>
        <w:rPr>
          <w:rFonts w:eastAsiaTheme="minorHAnsi"/>
          <w:noProof/>
          <w:sz w:val="20"/>
          <w:szCs w:val="20"/>
        </w:rPr>
      </w:pPr>
      <w:bookmarkStart w:id="106" w:name="_ENREF_107"/>
      <w:r w:rsidRPr="000A2834">
        <w:rPr>
          <w:rFonts w:eastAsiaTheme="minorHAnsi"/>
          <w:noProof/>
          <w:sz w:val="20"/>
          <w:szCs w:val="20"/>
        </w:rPr>
        <w:t>108. Jain A (2005) Bird and Bat Behavior and Mortality at a Northern Iowa Windfarm. Thesis. Ames, Iowa: Iowa State University.</w:t>
      </w:r>
      <w:bookmarkEnd w:id="106"/>
    </w:p>
    <w:p w:rsidR="00E206FF" w:rsidRPr="00E206FF" w:rsidRDefault="00E206FF">
      <w:pPr>
        <w:rPr>
          <w:sz w:val="22"/>
        </w:rPr>
      </w:pPr>
    </w:p>
    <w:sectPr w:rsidR="00E206FF" w:rsidRPr="00E206FF" w:rsidSect="00BD6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206D1"/>
    <w:rsid w:val="00005E04"/>
    <w:rsid w:val="000A2834"/>
    <w:rsid w:val="00124BF5"/>
    <w:rsid w:val="001F25F4"/>
    <w:rsid w:val="002719CB"/>
    <w:rsid w:val="002B5EA8"/>
    <w:rsid w:val="002F1480"/>
    <w:rsid w:val="003019F0"/>
    <w:rsid w:val="00303689"/>
    <w:rsid w:val="00372136"/>
    <w:rsid w:val="00372E41"/>
    <w:rsid w:val="00385EE1"/>
    <w:rsid w:val="0041548B"/>
    <w:rsid w:val="00497AB9"/>
    <w:rsid w:val="00576F04"/>
    <w:rsid w:val="005D1936"/>
    <w:rsid w:val="005F6A07"/>
    <w:rsid w:val="00625165"/>
    <w:rsid w:val="006D24CF"/>
    <w:rsid w:val="006F516C"/>
    <w:rsid w:val="007D6DB4"/>
    <w:rsid w:val="0081362D"/>
    <w:rsid w:val="00813BFE"/>
    <w:rsid w:val="008229E6"/>
    <w:rsid w:val="00874123"/>
    <w:rsid w:val="008E50EF"/>
    <w:rsid w:val="00A2081A"/>
    <w:rsid w:val="00A26062"/>
    <w:rsid w:val="00A4213D"/>
    <w:rsid w:val="00A62328"/>
    <w:rsid w:val="00AC76FB"/>
    <w:rsid w:val="00B1000E"/>
    <w:rsid w:val="00B16BE0"/>
    <w:rsid w:val="00B961A0"/>
    <w:rsid w:val="00BD6880"/>
    <w:rsid w:val="00C206D1"/>
    <w:rsid w:val="00CC423D"/>
    <w:rsid w:val="00CE55AB"/>
    <w:rsid w:val="00D06556"/>
    <w:rsid w:val="00D17DB3"/>
    <w:rsid w:val="00E206FF"/>
    <w:rsid w:val="00E24BD0"/>
    <w:rsid w:val="00E34771"/>
    <w:rsid w:val="00EA13DD"/>
    <w:rsid w:val="00EB6770"/>
    <w:rsid w:val="00F446D6"/>
    <w:rsid w:val="00F46E13"/>
    <w:rsid w:val="00FB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D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D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B677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67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13BFE"/>
    <w:rPr>
      <w:sz w:val="16"/>
      <w:szCs w:val="16"/>
    </w:rPr>
  </w:style>
  <w:style w:type="paragraph" w:styleId="CommentText">
    <w:name w:val="annotation text"/>
    <w:basedOn w:val="Normal"/>
    <w:link w:val="CommentTextChar"/>
    <w:uiPriority w:val="99"/>
    <w:semiHidden/>
    <w:unhideWhenUsed/>
    <w:rsid w:val="00813BFE"/>
    <w:pPr>
      <w:spacing w:line="240" w:lineRule="auto"/>
    </w:pPr>
    <w:rPr>
      <w:sz w:val="20"/>
      <w:szCs w:val="20"/>
    </w:rPr>
  </w:style>
  <w:style w:type="character" w:customStyle="1" w:styleId="CommentTextChar">
    <w:name w:val="Comment Text Char"/>
    <w:basedOn w:val="DefaultParagraphFont"/>
    <w:link w:val="CommentText"/>
    <w:uiPriority w:val="99"/>
    <w:semiHidden/>
    <w:rsid w:val="00813B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BFE"/>
    <w:rPr>
      <w:b/>
      <w:bCs/>
    </w:rPr>
  </w:style>
  <w:style w:type="character" w:customStyle="1" w:styleId="CommentSubjectChar">
    <w:name w:val="Comment Subject Char"/>
    <w:basedOn w:val="CommentTextChar"/>
    <w:link w:val="CommentSubject"/>
    <w:uiPriority w:val="99"/>
    <w:semiHidden/>
    <w:rsid w:val="00813BFE"/>
    <w:rPr>
      <w:b/>
      <w:bCs/>
    </w:rPr>
  </w:style>
  <w:style w:type="paragraph" w:styleId="Revision">
    <w:name w:val="Revision"/>
    <w:hidden/>
    <w:uiPriority w:val="99"/>
    <w:semiHidden/>
    <w:rsid w:val="00E24BD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2136867">
      <w:bodyDiv w:val="1"/>
      <w:marLeft w:val="0"/>
      <w:marRight w:val="0"/>
      <w:marTop w:val="0"/>
      <w:marBottom w:val="0"/>
      <w:divBdr>
        <w:top w:val="none" w:sz="0" w:space="0" w:color="auto"/>
        <w:left w:val="none" w:sz="0" w:space="0" w:color="auto"/>
        <w:bottom w:val="none" w:sz="0" w:space="0" w:color="auto"/>
        <w:right w:val="none" w:sz="0" w:space="0" w:color="auto"/>
      </w:divBdr>
    </w:div>
    <w:div w:id="11279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Wolfe</dc:creator>
  <cp:lastModifiedBy>Melissa Wolfe</cp:lastModifiedBy>
  <cp:revision>8</cp:revision>
  <dcterms:created xsi:type="dcterms:W3CDTF">2014-04-08T22:35:00Z</dcterms:created>
  <dcterms:modified xsi:type="dcterms:W3CDTF">2014-08-07T16:06:00Z</dcterms:modified>
</cp:coreProperties>
</file>