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95" w:rsidRPr="00032D13" w:rsidRDefault="009B2906" w:rsidP="00032D13">
      <w:pPr>
        <w:widowControl w:val="0"/>
        <w:autoSpaceDE w:val="0"/>
        <w:autoSpaceDN w:val="0"/>
        <w:adjustRightInd w:val="0"/>
        <w:spacing w:line="360" w:lineRule="auto"/>
        <w:rPr>
          <w:rFonts w:asciiTheme="majorBidi" w:hAnsiTheme="majorBidi" w:cstheme="majorBidi"/>
          <w:lang w:val="en-GB"/>
        </w:rPr>
      </w:pPr>
      <w:r w:rsidRPr="00032D13">
        <w:rPr>
          <w:rFonts w:asciiTheme="majorBidi" w:hAnsiTheme="majorBidi" w:cstheme="majorBidi"/>
          <w:lang w:val="en-US"/>
        </w:rPr>
        <w:t>Table</w:t>
      </w:r>
      <w:r w:rsidR="00E93385" w:rsidRPr="00032D13">
        <w:rPr>
          <w:rFonts w:asciiTheme="majorBidi" w:hAnsiTheme="majorBidi" w:cstheme="majorBidi"/>
          <w:lang w:val="en-US"/>
        </w:rPr>
        <w:t xml:space="preserve"> </w:t>
      </w:r>
      <w:r w:rsidR="00480495" w:rsidRPr="00032D13">
        <w:rPr>
          <w:rFonts w:asciiTheme="majorBidi" w:hAnsiTheme="majorBidi" w:cstheme="majorBidi"/>
          <w:lang w:val="en-US"/>
        </w:rPr>
        <w:t>S1</w:t>
      </w:r>
      <w:r w:rsidR="00F014EA" w:rsidRPr="00032D13">
        <w:rPr>
          <w:rFonts w:asciiTheme="majorBidi" w:hAnsiTheme="majorBidi" w:cstheme="majorBidi"/>
          <w:lang w:val="en-US"/>
        </w:rPr>
        <w:t>-</w:t>
      </w:r>
      <w:r w:rsidR="00480495" w:rsidRPr="00032D13">
        <w:rPr>
          <w:rFonts w:asciiTheme="majorBidi" w:hAnsiTheme="majorBidi" w:cstheme="majorBidi"/>
          <w:lang w:val="en-US"/>
        </w:rPr>
        <w:t xml:space="preserve"> </w:t>
      </w:r>
      <w:r w:rsidR="00032D13" w:rsidRPr="00032D13">
        <w:rPr>
          <w:rFonts w:asciiTheme="majorBidi" w:eastAsiaTheme="minorHAnsi" w:hAnsiTheme="majorBidi" w:cstheme="majorBidi"/>
          <w:lang w:val="en-US" w:eastAsia="en-US"/>
        </w:rPr>
        <w:t xml:space="preserve">Characteristics of microsatellite </w:t>
      </w:r>
      <w:r w:rsidR="00032D13">
        <w:rPr>
          <w:rFonts w:asciiTheme="majorBidi" w:eastAsiaTheme="minorHAnsi" w:hAnsiTheme="majorBidi" w:cstheme="majorBidi"/>
          <w:lang w:val="en-US" w:eastAsia="en-US"/>
        </w:rPr>
        <w:t>loci</w:t>
      </w:r>
      <w:r w:rsidR="00032D13" w:rsidRPr="00032D13">
        <w:rPr>
          <w:rFonts w:asciiTheme="majorBidi" w:eastAsiaTheme="minorHAnsi" w:hAnsiTheme="majorBidi" w:cstheme="majorBidi"/>
          <w:lang w:val="en-US" w:eastAsia="en-US"/>
        </w:rPr>
        <w:t xml:space="preserve"> used to describe the genetic structure in natural populations of </w:t>
      </w:r>
      <w:r w:rsidR="00480495" w:rsidRPr="00032D13">
        <w:rPr>
          <w:rFonts w:asciiTheme="majorBidi" w:hAnsiTheme="majorBidi" w:cstheme="majorBidi"/>
          <w:i/>
          <w:iCs/>
          <w:lang w:val="en-US"/>
        </w:rPr>
        <w:t xml:space="preserve">Arabidopsis </w:t>
      </w:r>
      <w:proofErr w:type="spellStart"/>
      <w:r w:rsidR="00480495" w:rsidRPr="00032D13">
        <w:rPr>
          <w:rFonts w:asciiTheme="majorBidi" w:hAnsiTheme="majorBidi" w:cstheme="majorBidi"/>
          <w:i/>
          <w:iCs/>
          <w:lang w:val="en-US"/>
        </w:rPr>
        <w:t>lyrata</w:t>
      </w:r>
      <w:proofErr w:type="spellEnd"/>
      <w:r w:rsidR="00480495" w:rsidRPr="00032D13">
        <w:rPr>
          <w:rFonts w:asciiTheme="majorBidi" w:hAnsiTheme="majorBidi" w:cstheme="majorBidi"/>
          <w:lang w:val="en-US"/>
        </w:rPr>
        <w:t xml:space="preserve"> in Iceland. Four loci (</w:t>
      </w:r>
      <w:r w:rsidR="00480495" w:rsidRPr="00032D13">
        <w:rPr>
          <w:rFonts w:asciiTheme="majorBidi" w:hAnsiTheme="majorBidi" w:cstheme="majorBidi"/>
          <w:i/>
          <w:iCs/>
          <w:lang w:val="en-GB"/>
        </w:rPr>
        <w:t>ELF3</w:t>
      </w:r>
      <w:r w:rsidR="00480495" w:rsidRPr="00032D13">
        <w:rPr>
          <w:rFonts w:asciiTheme="majorBidi" w:hAnsiTheme="majorBidi" w:cstheme="majorBidi"/>
          <w:lang w:val="en-GB"/>
        </w:rPr>
        <w:t xml:space="preserve">, </w:t>
      </w:r>
      <w:r w:rsidR="00480495" w:rsidRPr="00032D13">
        <w:rPr>
          <w:rFonts w:asciiTheme="majorBidi" w:hAnsiTheme="majorBidi" w:cstheme="majorBidi"/>
          <w:i/>
          <w:iCs/>
          <w:lang w:val="en-GB"/>
        </w:rPr>
        <w:t>ICE3</w:t>
      </w:r>
      <w:r w:rsidR="00480495" w:rsidRPr="00032D13">
        <w:rPr>
          <w:rFonts w:asciiTheme="majorBidi" w:hAnsiTheme="majorBidi" w:cstheme="majorBidi"/>
          <w:lang w:val="en-GB"/>
        </w:rPr>
        <w:t xml:space="preserve">, </w:t>
      </w:r>
      <w:r w:rsidR="00480495" w:rsidRPr="00032D13">
        <w:rPr>
          <w:rFonts w:asciiTheme="majorBidi" w:hAnsiTheme="majorBidi" w:cstheme="majorBidi"/>
          <w:i/>
          <w:iCs/>
          <w:lang w:val="en-GB"/>
        </w:rPr>
        <w:t>MSAT2</w:t>
      </w:r>
      <w:r w:rsidR="00480495" w:rsidRPr="00032D13">
        <w:rPr>
          <w:rFonts w:asciiTheme="majorBidi" w:hAnsiTheme="majorBidi" w:cstheme="majorBidi"/>
          <w:lang w:val="en-GB"/>
        </w:rPr>
        <w:t xml:space="preserve">.22 and </w:t>
      </w:r>
      <w:r w:rsidR="00480495" w:rsidRPr="00032D13">
        <w:rPr>
          <w:rFonts w:asciiTheme="majorBidi" w:hAnsiTheme="majorBidi" w:cstheme="majorBidi"/>
          <w:i/>
          <w:iCs/>
          <w:lang w:val="en-GB"/>
        </w:rPr>
        <w:t>nga112</w:t>
      </w:r>
      <w:r w:rsidR="00480495" w:rsidRPr="00032D13">
        <w:rPr>
          <w:rFonts w:asciiTheme="majorBidi" w:hAnsiTheme="majorBidi" w:cstheme="majorBidi"/>
          <w:lang w:val="en-GB"/>
        </w:rPr>
        <w:t xml:space="preserve">) were not included in the genetic diversity analysis and in between habitat comparisons. </w:t>
      </w:r>
    </w:p>
    <w:p w:rsidR="00480495" w:rsidRPr="00EB4D7C" w:rsidRDefault="00480495" w:rsidP="00480495">
      <w:pPr>
        <w:autoSpaceDE w:val="0"/>
        <w:autoSpaceDN w:val="0"/>
        <w:adjustRightInd w:val="0"/>
        <w:spacing w:line="480" w:lineRule="auto"/>
        <w:rPr>
          <w:rFonts w:asciiTheme="majorBidi" w:hAnsiTheme="majorBidi" w:cstheme="majorBidi"/>
          <w:lang w:val="en-US"/>
        </w:rPr>
      </w:pPr>
    </w:p>
    <w:tbl>
      <w:tblPr>
        <w:tblW w:w="8295" w:type="dxa"/>
        <w:jc w:val="center"/>
        <w:tblInd w:w="997" w:type="dxa"/>
        <w:tblBorders>
          <w:top w:val="single" w:sz="4" w:space="0" w:color="auto"/>
          <w:bottom w:val="single" w:sz="4" w:space="0" w:color="auto"/>
          <w:insideH w:val="single" w:sz="4" w:space="0" w:color="auto"/>
        </w:tblBorders>
        <w:tblLook w:val="0000" w:firstRow="0" w:lastRow="0" w:firstColumn="0" w:lastColumn="0" w:noHBand="0" w:noVBand="0"/>
      </w:tblPr>
      <w:tblGrid>
        <w:gridCol w:w="1553"/>
        <w:gridCol w:w="2385"/>
        <w:gridCol w:w="1238"/>
        <w:gridCol w:w="1701"/>
        <w:gridCol w:w="1418"/>
      </w:tblGrid>
      <w:tr w:rsidR="00C43012" w:rsidRPr="00EB4D7C" w:rsidTr="00C43012">
        <w:trPr>
          <w:trHeight w:val="296"/>
          <w:jc w:val="center"/>
        </w:trPr>
        <w:tc>
          <w:tcPr>
            <w:tcW w:w="1553" w:type="dxa"/>
            <w:tcBorders>
              <w:top w:val="double" w:sz="4" w:space="0" w:color="auto"/>
              <w:bottom w:val="single" w:sz="8" w:space="0" w:color="auto"/>
            </w:tcBorders>
            <w:vAlign w:val="bottom"/>
          </w:tcPr>
          <w:p w:rsidR="00C43012" w:rsidRPr="00EB4D7C" w:rsidRDefault="00C43012" w:rsidP="00B1646F">
            <w:pPr>
              <w:rPr>
                <w:rFonts w:asciiTheme="majorBidi" w:hAnsiTheme="majorBidi" w:cstheme="majorBidi"/>
                <w:b/>
                <w:bCs/>
                <w:sz w:val="20"/>
                <w:szCs w:val="20"/>
                <w:lang w:val="en-US"/>
              </w:rPr>
            </w:pPr>
            <w:r w:rsidRPr="00EB4D7C">
              <w:rPr>
                <w:rFonts w:asciiTheme="majorBidi" w:hAnsiTheme="majorBidi" w:cstheme="majorBidi"/>
                <w:b/>
                <w:bCs/>
                <w:sz w:val="20"/>
                <w:szCs w:val="20"/>
                <w:lang w:val="en-US"/>
              </w:rPr>
              <w:t>Multiplex 1</w:t>
            </w:r>
          </w:p>
        </w:tc>
        <w:tc>
          <w:tcPr>
            <w:tcW w:w="2385" w:type="dxa"/>
            <w:tcBorders>
              <w:top w:val="double" w:sz="4" w:space="0" w:color="auto"/>
              <w:bottom w:val="single" w:sz="8" w:space="0" w:color="auto"/>
            </w:tcBorders>
            <w:vAlign w:val="center"/>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Primer concentration (µM)</w:t>
            </w:r>
          </w:p>
        </w:tc>
        <w:tc>
          <w:tcPr>
            <w:tcW w:w="1238" w:type="dxa"/>
            <w:tcBorders>
              <w:top w:val="double" w:sz="4" w:space="0" w:color="auto"/>
              <w:bottom w:val="single" w:sz="8" w:space="0" w:color="auto"/>
            </w:tcBorders>
            <w:vAlign w:val="center"/>
          </w:tcPr>
          <w:p w:rsidR="00C43012" w:rsidRPr="00EB4D7C" w:rsidRDefault="00C43012" w:rsidP="00CD2CE7">
            <w:pPr>
              <w:jc w:val="center"/>
              <w:rPr>
                <w:rFonts w:asciiTheme="majorBidi" w:hAnsiTheme="majorBidi" w:cstheme="majorBidi"/>
                <w:sz w:val="20"/>
                <w:szCs w:val="20"/>
                <w:lang w:val="en-US"/>
              </w:rPr>
            </w:pPr>
            <w:proofErr w:type="spellStart"/>
            <w:r w:rsidRPr="00EB4D7C">
              <w:rPr>
                <w:rFonts w:asciiTheme="majorBidi" w:hAnsiTheme="majorBidi" w:cstheme="majorBidi"/>
                <w:sz w:val="20"/>
                <w:szCs w:val="20"/>
                <w:lang w:val="en-US"/>
              </w:rPr>
              <w:t>fluorophores</w:t>
            </w:r>
            <w:proofErr w:type="spellEnd"/>
          </w:p>
        </w:tc>
        <w:tc>
          <w:tcPr>
            <w:tcW w:w="1701" w:type="dxa"/>
            <w:tcBorders>
              <w:top w:val="double" w:sz="4" w:space="0" w:color="auto"/>
              <w:bottom w:val="single" w:sz="8" w:space="0" w:color="auto"/>
              <w:right w:val="nil"/>
            </w:tcBorders>
            <w:vAlign w:val="center"/>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Number of alleles</w:t>
            </w:r>
          </w:p>
        </w:tc>
        <w:tc>
          <w:tcPr>
            <w:tcW w:w="1418" w:type="dxa"/>
            <w:tcBorders>
              <w:top w:val="double" w:sz="4" w:space="0" w:color="auto"/>
              <w:left w:val="nil"/>
              <w:bottom w:val="single" w:sz="8" w:space="0" w:color="auto"/>
              <w:right w:val="nil"/>
            </w:tcBorders>
            <w:vAlign w:val="center"/>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Allele range</w:t>
            </w:r>
          </w:p>
        </w:tc>
      </w:tr>
      <w:tr w:rsidR="00C43012" w:rsidRPr="00EB4D7C" w:rsidTr="00C43012">
        <w:trPr>
          <w:trHeight w:val="143"/>
          <w:jc w:val="center"/>
        </w:trPr>
        <w:tc>
          <w:tcPr>
            <w:tcW w:w="1553" w:type="dxa"/>
            <w:tcBorders>
              <w:top w:val="single" w:sz="8" w:space="0" w:color="auto"/>
              <w:bottom w:val="nil"/>
            </w:tcBorders>
            <w:vAlign w:val="bottom"/>
          </w:tcPr>
          <w:p w:rsidR="00C43012" w:rsidRPr="00EB4D7C" w:rsidRDefault="00C43012" w:rsidP="0083613C">
            <w:pPr>
              <w:rPr>
                <w:rFonts w:asciiTheme="majorBidi" w:hAnsiTheme="majorBidi" w:cstheme="majorBidi"/>
                <w:i/>
                <w:iCs/>
                <w:sz w:val="20"/>
                <w:szCs w:val="20"/>
                <w:lang w:val="en-US"/>
              </w:rPr>
            </w:pPr>
            <w:r w:rsidRPr="00EB4D7C">
              <w:rPr>
                <w:rFonts w:asciiTheme="majorBidi" w:hAnsiTheme="majorBidi" w:cstheme="majorBidi"/>
                <w:i/>
                <w:iCs/>
                <w:sz w:val="20"/>
                <w:szCs w:val="20"/>
                <w:lang w:val="en-US"/>
              </w:rPr>
              <w:t>ICE6</w:t>
            </w:r>
            <w:r w:rsidRPr="00EB4D7C">
              <w:rPr>
                <w:rFonts w:asciiTheme="majorBidi" w:hAnsiTheme="majorBidi" w:cstheme="majorBidi"/>
                <w:sz w:val="20"/>
                <w:szCs w:val="20"/>
                <w:vertAlign w:val="superscript"/>
                <w:lang w:val="en-US"/>
              </w:rPr>
              <w:t xml:space="preserve"> 2</w:t>
            </w:r>
          </w:p>
        </w:tc>
        <w:tc>
          <w:tcPr>
            <w:tcW w:w="2385" w:type="dxa"/>
            <w:tcBorders>
              <w:top w:val="single" w:sz="8" w:space="0" w:color="auto"/>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0.40</w:t>
            </w:r>
          </w:p>
        </w:tc>
        <w:tc>
          <w:tcPr>
            <w:tcW w:w="1238" w:type="dxa"/>
            <w:tcBorders>
              <w:top w:val="single" w:sz="8" w:space="0" w:color="auto"/>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HEX</w:t>
            </w:r>
          </w:p>
        </w:tc>
        <w:tc>
          <w:tcPr>
            <w:tcW w:w="1701" w:type="dxa"/>
            <w:tcBorders>
              <w:top w:val="single" w:sz="8" w:space="0" w:color="auto"/>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5</w:t>
            </w:r>
          </w:p>
        </w:tc>
        <w:tc>
          <w:tcPr>
            <w:tcW w:w="1418" w:type="dxa"/>
            <w:tcBorders>
              <w:top w:val="single" w:sz="8" w:space="0" w:color="auto"/>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147-156</w:t>
            </w:r>
          </w:p>
        </w:tc>
      </w:tr>
      <w:tr w:rsidR="00C43012" w:rsidRPr="00EB4D7C" w:rsidTr="00C43012">
        <w:trPr>
          <w:trHeight w:val="143"/>
          <w:jc w:val="center"/>
        </w:trPr>
        <w:tc>
          <w:tcPr>
            <w:tcW w:w="1553" w:type="dxa"/>
            <w:tcBorders>
              <w:top w:val="nil"/>
              <w:bottom w:val="nil"/>
            </w:tcBorders>
            <w:vAlign w:val="bottom"/>
          </w:tcPr>
          <w:p w:rsidR="00C43012" w:rsidRPr="00EB4D7C" w:rsidRDefault="00C43012" w:rsidP="0083613C">
            <w:pPr>
              <w:rPr>
                <w:rFonts w:asciiTheme="majorBidi" w:hAnsiTheme="majorBidi" w:cstheme="majorBidi"/>
                <w:i/>
                <w:iCs/>
                <w:sz w:val="20"/>
                <w:szCs w:val="20"/>
                <w:lang w:val="en-US"/>
              </w:rPr>
            </w:pPr>
            <w:r w:rsidRPr="00EB4D7C">
              <w:rPr>
                <w:rFonts w:asciiTheme="majorBidi" w:hAnsiTheme="majorBidi" w:cstheme="majorBidi"/>
                <w:i/>
                <w:iCs/>
                <w:sz w:val="20"/>
                <w:szCs w:val="20"/>
                <w:lang w:val="en-US"/>
              </w:rPr>
              <w:t>ICE12</w:t>
            </w:r>
            <w:r w:rsidRPr="00EB4D7C">
              <w:rPr>
                <w:rFonts w:asciiTheme="majorBidi" w:hAnsiTheme="majorBidi" w:cstheme="majorBidi"/>
                <w:sz w:val="20"/>
                <w:szCs w:val="20"/>
                <w:vertAlign w:val="superscript"/>
                <w:lang w:val="en-US"/>
              </w:rPr>
              <w:t xml:space="preserve"> 1,2</w:t>
            </w:r>
          </w:p>
        </w:tc>
        <w:tc>
          <w:tcPr>
            <w:tcW w:w="2385"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0.20</w:t>
            </w:r>
          </w:p>
        </w:tc>
        <w:tc>
          <w:tcPr>
            <w:tcW w:w="1238"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HEX</w:t>
            </w:r>
          </w:p>
        </w:tc>
        <w:tc>
          <w:tcPr>
            <w:tcW w:w="1701"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11</w:t>
            </w:r>
          </w:p>
        </w:tc>
        <w:tc>
          <w:tcPr>
            <w:tcW w:w="1418"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178-212</w:t>
            </w:r>
          </w:p>
        </w:tc>
      </w:tr>
      <w:tr w:rsidR="00C43012" w:rsidRPr="00EB4D7C" w:rsidTr="00C43012">
        <w:trPr>
          <w:trHeight w:val="143"/>
          <w:jc w:val="center"/>
        </w:trPr>
        <w:tc>
          <w:tcPr>
            <w:tcW w:w="1553" w:type="dxa"/>
            <w:tcBorders>
              <w:top w:val="nil"/>
              <w:bottom w:val="nil"/>
            </w:tcBorders>
            <w:vAlign w:val="bottom"/>
          </w:tcPr>
          <w:p w:rsidR="00C43012" w:rsidRPr="00EB4D7C" w:rsidRDefault="00C43012" w:rsidP="0083613C">
            <w:pPr>
              <w:rPr>
                <w:rFonts w:asciiTheme="majorBidi" w:hAnsiTheme="majorBidi" w:cstheme="majorBidi"/>
                <w:i/>
                <w:iCs/>
                <w:sz w:val="20"/>
                <w:szCs w:val="20"/>
                <w:lang w:val="en-US"/>
              </w:rPr>
            </w:pPr>
            <w:r w:rsidRPr="00EB4D7C">
              <w:rPr>
                <w:rFonts w:asciiTheme="majorBidi" w:hAnsiTheme="majorBidi" w:cstheme="majorBidi"/>
                <w:i/>
                <w:iCs/>
                <w:sz w:val="20"/>
                <w:szCs w:val="20"/>
                <w:lang w:val="en-US"/>
              </w:rPr>
              <w:t>F20D22</w:t>
            </w:r>
            <w:r w:rsidRPr="00EB4D7C">
              <w:rPr>
                <w:rFonts w:asciiTheme="majorBidi" w:hAnsiTheme="majorBidi" w:cstheme="majorBidi"/>
                <w:sz w:val="20"/>
                <w:szCs w:val="20"/>
                <w:vertAlign w:val="superscript"/>
                <w:lang w:val="en-US"/>
              </w:rPr>
              <w:t xml:space="preserve"> 2</w:t>
            </w:r>
          </w:p>
        </w:tc>
        <w:tc>
          <w:tcPr>
            <w:tcW w:w="2385"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0.20</w:t>
            </w:r>
          </w:p>
        </w:tc>
        <w:tc>
          <w:tcPr>
            <w:tcW w:w="1238"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HEX</w:t>
            </w:r>
          </w:p>
        </w:tc>
        <w:tc>
          <w:tcPr>
            <w:tcW w:w="1701"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3</w:t>
            </w:r>
          </w:p>
        </w:tc>
        <w:tc>
          <w:tcPr>
            <w:tcW w:w="1418"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165-168</w:t>
            </w:r>
          </w:p>
        </w:tc>
      </w:tr>
      <w:tr w:rsidR="00C43012" w:rsidRPr="00EB4D7C" w:rsidTr="00C43012">
        <w:trPr>
          <w:trHeight w:val="143"/>
          <w:jc w:val="center"/>
        </w:trPr>
        <w:tc>
          <w:tcPr>
            <w:tcW w:w="1553" w:type="dxa"/>
            <w:tcBorders>
              <w:top w:val="nil"/>
              <w:bottom w:val="nil"/>
            </w:tcBorders>
            <w:vAlign w:val="bottom"/>
          </w:tcPr>
          <w:p w:rsidR="00C43012" w:rsidRPr="00EB4D7C" w:rsidRDefault="00C43012" w:rsidP="00B1646F">
            <w:pPr>
              <w:rPr>
                <w:rFonts w:asciiTheme="majorBidi" w:hAnsiTheme="majorBidi" w:cstheme="majorBidi"/>
                <w:i/>
                <w:iCs/>
                <w:sz w:val="20"/>
                <w:szCs w:val="20"/>
                <w:lang w:val="en-US"/>
              </w:rPr>
            </w:pPr>
            <w:r w:rsidRPr="00EB4D7C">
              <w:rPr>
                <w:rFonts w:asciiTheme="majorBidi" w:hAnsiTheme="majorBidi" w:cstheme="majorBidi"/>
                <w:i/>
                <w:iCs/>
                <w:sz w:val="20"/>
                <w:szCs w:val="20"/>
                <w:lang w:val="en-US"/>
              </w:rPr>
              <w:t>nga162</w:t>
            </w:r>
            <w:r w:rsidRPr="00EB4D7C">
              <w:rPr>
                <w:rFonts w:asciiTheme="majorBidi" w:hAnsiTheme="majorBidi" w:cstheme="majorBidi"/>
                <w:sz w:val="20"/>
                <w:szCs w:val="20"/>
                <w:vertAlign w:val="superscript"/>
                <w:lang w:val="en-US"/>
              </w:rPr>
              <w:t xml:space="preserve"> 1,2</w:t>
            </w:r>
          </w:p>
        </w:tc>
        <w:tc>
          <w:tcPr>
            <w:tcW w:w="2385"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0.20</w:t>
            </w:r>
          </w:p>
        </w:tc>
        <w:tc>
          <w:tcPr>
            <w:tcW w:w="1238"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6-FAM</w:t>
            </w:r>
          </w:p>
        </w:tc>
        <w:tc>
          <w:tcPr>
            <w:tcW w:w="1701"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1</w:t>
            </w:r>
          </w:p>
        </w:tc>
        <w:tc>
          <w:tcPr>
            <w:tcW w:w="1418"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77</w:t>
            </w:r>
          </w:p>
        </w:tc>
      </w:tr>
      <w:tr w:rsidR="00C43012" w:rsidRPr="00EB4D7C" w:rsidTr="00C43012">
        <w:trPr>
          <w:trHeight w:val="143"/>
          <w:jc w:val="center"/>
        </w:trPr>
        <w:tc>
          <w:tcPr>
            <w:tcW w:w="1553" w:type="dxa"/>
            <w:tcBorders>
              <w:top w:val="nil"/>
              <w:bottom w:val="nil"/>
            </w:tcBorders>
            <w:vAlign w:val="bottom"/>
          </w:tcPr>
          <w:p w:rsidR="00C43012" w:rsidRPr="00EB4D7C" w:rsidRDefault="00C43012" w:rsidP="00B1646F">
            <w:pPr>
              <w:rPr>
                <w:rFonts w:asciiTheme="majorBidi" w:hAnsiTheme="majorBidi" w:cstheme="majorBidi"/>
                <w:i/>
                <w:iCs/>
                <w:sz w:val="20"/>
                <w:szCs w:val="20"/>
                <w:lang w:val="en-US"/>
              </w:rPr>
            </w:pPr>
            <w:r w:rsidRPr="00EB4D7C">
              <w:rPr>
                <w:rFonts w:asciiTheme="majorBidi" w:hAnsiTheme="majorBidi" w:cstheme="majorBidi"/>
                <w:i/>
                <w:iCs/>
                <w:sz w:val="20"/>
                <w:szCs w:val="20"/>
                <w:lang w:val="en-US"/>
              </w:rPr>
              <w:t>nga151</w:t>
            </w:r>
            <w:r w:rsidRPr="00EB4D7C">
              <w:rPr>
                <w:rFonts w:asciiTheme="majorBidi" w:hAnsiTheme="majorBidi" w:cstheme="majorBidi"/>
                <w:sz w:val="20"/>
                <w:szCs w:val="20"/>
                <w:vertAlign w:val="superscript"/>
                <w:lang w:val="en-US"/>
              </w:rPr>
              <w:t xml:space="preserve"> 1,2</w:t>
            </w:r>
          </w:p>
        </w:tc>
        <w:tc>
          <w:tcPr>
            <w:tcW w:w="2385"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0.20</w:t>
            </w:r>
          </w:p>
        </w:tc>
        <w:tc>
          <w:tcPr>
            <w:tcW w:w="1238"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6-FAM</w:t>
            </w:r>
          </w:p>
        </w:tc>
        <w:tc>
          <w:tcPr>
            <w:tcW w:w="1701"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2</w:t>
            </w:r>
          </w:p>
        </w:tc>
        <w:tc>
          <w:tcPr>
            <w:tcW w:w="1418"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93-99</w:t>
            </w:r>
          </w:p>
        </w:tc>
      </w:tr>
      <w:tr w:rsidR="00C43012" w:rsidRPr="00EB4D7C" w:rsidTr="00C43012">
        <w:trPr>
          <w:trHeight w:val="143"/>
          <w:jc w:val="center"/>
        </w:trPr>
        <w:tc>
          <w:tcPr>
            <w:tcW w:w="1553" w:type="dxa"/>
            <w:tcBorders>
              <w:top w:val="nil"/>
              <w:bottom w:val="nil"/>
            </w:tcBorders>
            <w:vAlign w:val="bottom"/>
          </w:tcPr>
          <w:p w:rsidR="00C43012" w:rsidRPr="00EB4D7C" w:rsidRDefault="00C43012" w:rsidP="0083613C">
            <w:pPr>
              <w:rPr>
                <w:rFonts w:asciiTheme="majorBidi" w:hAnsiTheme="majorBidi" w:cstheme="majorBidi"/>
                <w:i/>
                <w:iCs/>
                <w:sz w:val="20"/>
                <w:szCs w:val="20"/>
                <w:lang w:val="en-US"/>
              </w:rPr>
            </w:pPr>
            <w:r w:rsidRPr="00EB4D7C">
              <w:rPr>
                <w:rFonts w:asciiTheme="majorBidi" w:hAnsiTheme="majorBidi" w:cstheme="majorBidi"/>
                <w:i/>
                <w:iCs/>
                <w:sz w:val="20"/>
                <w:szCs w:val="20"/>
                <w:lang w:val="en-US"/>
              </w:rPr>
              <w:t>ICE5</w:t>
            </w:r>
            <w:r w:rsidRPr="00EB4D7C">
              <w:rPr>
                <w:rFonts w:asciiTheme="majorBidi" w:hAnsiTheme="majorBidi" w:cstheme="majorBidi"/>
                <w:sz w:val="20"/>
                <w:szCs w:val="20"/>
                <w:vertAlign w:val="superscript"/>
                <w:lang w:val="en-US"/>
              </w:rPr>
              <w:t xml:space="preserve"> 2</w:t>
            </w:r>
          </w:p>
        </w:tc>
        <w:tc>
          <w:tcPr>
            <w:tcW w:w="2385"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0.20</w:t>
            </w:r>
          </w:p>
        </w:tc>
        <w:tc>
          <w:tcPr>
            <w:tcW w:w="1238"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6-FAM</w:t>
            </w:r>
          </w:p>
        </w:tc>
        <w:tc>
          <w:tcPr>
            <w:tcW w:w="1701"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2</w:t>
            </w:r>
          </w:p>
        </w:tc>
        <w:tc>
          <w:tcPr>
            <w:tcW w:w="1418"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166-167</w:t>
            </w:r>
          </w:p>
        </w:tc>
      </w:tr>
      <w:tr w:rsidR="00C43012" w:rsidRPr="00EB4D7C" w:rsidTr="00C43012">
        <w:trPr>
          <w:trHeight w:val="143"/>
          <w:jc w:val="center"/>
        </w:trPr>
        <w:tc>
          <w:tcPr>
            <w:tcW w:w="1553" w:type="dxa"/>
            <w:tcBorders>
              <w:top w:val="nil"/>
              <w:bottom w:val="nil"/>
            </w:tcBorders>
            <w:vAlign w:val="bottom"/>
          </w:tcPr>
          <w:p w:rsidR="00C43012" w:rsidRPr="00EB4D7C" w:rsidRDefault="00C43012" w:rsidP="0083613C">
            <w:pPr>
              <w:rPr>
                <w:rFonts w:asciiTheme="majorBidi" w:hAnsiTheme="majorBidi" w:cstheme="majorBidi"/>
                <w:i/>
                <w:iCs/>
                <w:sz w:val="20"/>
                <w:szCs w:val="20"/>
                <w:lang w:val="en-US"/>
              </w:rPr>
            </w:pPr>
            <w:proofErr w:type="spellStart"/>
            <w:r w:rsidRPr="00EB4D7C">
              <w:rPr>
                <w:rFonts w:asciiTheme="majorBidi" w:hAnsiTheme="majorBidi" w:cstheme="majorBidi"/>
                <w:i/>
                <w:iCs/>
                <w:sz w:val="20"/>
                <w:szCs w:val="20"/>
                <w:lang w:val="en-US"/>
              </w:rPr>
              <w:t>AthGAPAb</w:t>
            </w:r>
            <w:proofErr w:type="spellEnd"/>
            <w:r w:rsidRPr="00EB4D7C">
              <w:rPr>
                <w:rFonts w:asciiTheme="majorBidi" w:hAnsiTheme="majorBidi" w:cstheme="majorBidi"/>
                <w:sz w:val="20"/>
                <w:szCs w:val="20"/>
                <w:vertAlign w:val="superscript"/>
                <w:lang w:val="en-US"/>
              </w:rPr>
              <w:t xml:space="preserve"> 2</w:t>
            </w:r>
          </w:p>
        </w:tc>
        <w:tc>
          <w:tcPr>
            <w:tcW w:w="2385"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0.45</w:t>
            </w:r>
          </w:p>
        </w:tc>
        <w:tc>
          <w:tcPr>
            <w:tcW w:w="1238"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NED</w:t>
            </w:r>
          </w:p>
        </w:tc>
        <w:tc>
          <w:tcPr>
            <w:tcW w:w="1701"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4</w:t>
            </w:r>
          </w:p>
        </w:tc>
        <w:tc>
          <w:tcPr>
            <w:tcW w:w="1418"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113-127</w:t>
            </w:r>
          </w:p>
        </w:tc>
      </w:tr>
      <w:tr w:rsidR="00C43012" w:rsidRPr="00EB4D7C" w:rsidTr="00C43012">
        <w:trPr>
          <w:trHeight w:val="206"/>
          <w:jc w:val="center"/>
        </w:trPr>
        <w:tc>
          <w:tcPr>
            <w:tcW w:w="1553" w:type="dxa"/>
            <w:tcBorders>
              <w:top w:val="nil"/>
              <w:bottom w:val="single" w:sz="8" w:space="0" w:color="auto"/>
            </w:tcBorders>
            <w:vAlign w:val="bottom"/>
          </w:tcPr>
          <w:p w:rsidR="00C43012" w:rsidRPr="00EB4D7C" w:rsidRDefault="00C43012" w:rsidP="00B1646F">
            <w:pPr>
              <w:rPr>
                <w:rFonts w:asciiTheme="majorBidi" w:hAnsiTheme="majorBidi" w:cstheme="majorBidi"/>
                <w:b/>
                <w:bCs/>
                <w:sz w:val="20"/>
                <w:szCs w:val="20"/>
                <w:lang w:val="en-US"/>
              </w:rPr>
            </w:pPr>
            <w:r w:rsidRPr="00EB4D7C">
              <w:rPr>
                <w:rFonts w:asciiTheme="majorBidi" w:hAnsiTheme="majorBidi" w:cstheme="majorBidi"/>
                <w:b/>
                <w:bCs/>
                <w:sz w:val="20"/>
                <w:szCs w:val="20"/>
                <w:lang w:val="en-US"/>
              </w:rPr>
              <w:t>Multiplex 2</w:t>
            </w:r>
          </w:p>
        </w:tc>
        <w:tc>
          <w:tcPr>
            <w:tcW w:w="2385" w:type="dxa"/>
            <w:tcBorders>
              <w:top w:val="nil"/>
              <w:bottom w:val="single" w:sz="8" w:space="0" w:color="auto"/>
            </w:tcBorders>
          </w:tcPr>
          <w:p w:rsidR="00C43012" w:rsidRPr="00EB4D7C" w:rsidRDefault="00C43012" w:rsidP="00CD2CE7">
            <w:pPr>
              <w:jc w:val="center"/>
              <w:rPr>
                <w:rFonts w:asciiTheme="majorBidi" w:hAnsiTheme="majorBidi" w:cstheme="majorBidi"/>
                <w:sz w:val="20"/>
                <w:szCs w:val="20"/>
                <w:lang w:val="en-US"/>
              </w:rPr>
            </w:pPr>
          </w:p>
        </w:tc>
        <w:tc>
          <w:tcPr>
            <w:tcW w:w="1238" w:type="dxa"/>
            <w:tcBorders>
              <w:top w:val="nil"/>
              <w:bottom w:val="single" w:sz="8" w:space="0" w:color="auto"/>
            </w:tcBorders>
          </w:tcPr>
          <w:p w:rsidR="00C43012" w:rsidRPr="00EB4D7C" w:rsidRDefault="00C43012" w:rsidP="00CD2CE7">
            <w:pPr>
              <w:jc w:val="center"/>
              <w:rPr>
                <w:rFonts w:asciiTheme="majorBidi" w:hAnsiTheme="majorBidi" w:cstheme="majorBidi"/>
                <w:sz w:val="20"/>
                <w:szCs w:val="20"/>
                <w:lang w:val="en-US"/>
              </w:rPr>
            </w:pPr>
          </w:p>
        </w:tc>
        <w:tc>
          <w:tcPr>
            <w:tcW w:w="1701" w:type="dxa"/>
            <w:tcBorders>
              <w:top w:val="nil"/>
              <w:bottom w:val="single" w:sz="8" w:space="0" w:color="auto"/>
            </w:tcBorders>
          </w:tcPr>
          <w:p w:rsidR="00C43012" w:rsidRPr="00EB4D7C" w:rsidRDefault="00C43012" w:rsidP="00CD2CE7">
            <w:pPr>
              <w:jc w:val="center"/>
              <w:rPr>
                <w:rFonts w:asciiTheme="majorBidi" w:hAnsiTheme="majorBidi" w:cstheme="majorBidi"/>
                <w:sz w:val="20"/>
                <w:szCs w:val="20"/>
                <w:lang w:val="en-US"/>
              </w:rPr>
            </w:pPr>
          </w:p>
        </w:tc>
        <w:tc>
          <w:tcPr>
            <w:tcW w:w="1418" w:type="dxa"/>
            <w:tcBorders>
              <w:top w:val="nil"/>
              <w:bottom w:val="single" w:sz="8" w:space="0" w:color="auto"/>
            </w:tcBorders>
          </w:tcPr>
          <w:p w:rsidR="00C43012" w:rsidRPr="00EB4D7C" w:rsidRDefault="00C43012" w:rsidP="00CD2CE7">
            <w:pPr>
              <w:jc w:val="center"/>
              <w:rPr>
                <w:rFonts w:asciiTheme="majorBidi" w:hAnsiTheme="majorBidi" w:cstheme="majorBidi"/>
                <w:sz w:val="20"/>
                <w:szCs w:val="20"/>
                <w:lang w:val="en-US"/>
              </w:rPr>
            </w:pPr>
          </w:p>
        </w:tc>
      </w:tr>
      <w:tr w:rsidR="00C43012" w:rsidRPr="00EB4D7C" w:rsidTr="00C43012">
        <w:trPr>
          <w:trHeight w:val="206"/>
          <w:jc w:val="center"/>
        </w:trPr>
        <w:tc>
          <w:tcPr>
            <w:tcW w:w="1553" w:type="dxa"/>
            <w:tcBorders>
              <w:top w:val="single" w:sz="8" w:space="0" w:color="auto"/>
              <w:bottom w:val="nil"/>
            </w:tcBorders>
            <w:vAlign w:val="bottom"/>
          </w:tcPr>
          <w:p w:rsidR="00C43012" w:rsidRPr="00EB4D7C" w:rsidRDefault="00C43012" w:rsidP="0083613C">
            <w:pPr>
              <w:rPr>
                <w:rFonts w:asciiTheme="majorBidi" w:hAnsiTheme="majorBidi" w:cstheme="majorBidi"/>
                <w:bCs/>
                <w:i/>
                <w:iCs/>
                <w:sz w:val="20"/>
                <w:szCs w:val="20"/>
                <w:lang w:val="en-US"/>
              </w:rPr>
            </w:pPr>
            <w:r w:rsidRPr="00EB4D7C">
              <w:rPr>
                <w:rFonts w:asciiTheme="majorBidi" w:hAnsiTheme="majorBidi" w:cstheme="majorBidi"/>
                <w:bCs/>
                <w:i/>
                <w:iCs/>
                <w:sz w:val="20"/>
                <w:szCs w:val="20"/>
                <w:lang w:val="en-US"/>
              </w:rPr>
              <w:t>AthCDPK9</w:t>
            </w:r>
            <w:r w:rsidRPr="00EB4D7C">
              <w:rPr>
                <w:rFonts w:asciiTheme="majorBidi" w:hAnsiTheme="majorBidi" w:cstheme="majorBidi"/>
                <w:sz w:val="20"/>
                <w:szCs w:val="20"/>
                <w:vertAlign w:val="superscript"/>
                <w:lang w:val="en-US"/>
              </w:rPr>
              <w:t xml:space="preserve"> 2</w:t>
            </w:r>
          </w:p>
        </w:tc>
        <w:tc>
          <w:tcPr>
            <w:tcW w:w="2385" w:type="dxa"/>
            <w:tcBorders>
              <w:top w:val="single" w:sz="8" w:space="0" w:color="auto"/>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0.20</w:t>
            </w:r>
          </w:p>
        </w:tc>
        <w:tc>
          <w:tcPr>
            <w:tcW w:w="1238" w:type="dxa"/>
            <w:tcBorders>
              <w:top w:val="single" w:sz="8" w:space="0" w:color="auto"/>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HEX</w:t>
            </w:r>
          </w:p>
        </w:tc>
        <w:tc>
          <w:tcPr>
            <w:tcW w:w="1701" w:type="dxa"/>
            <w:tcBorders>
              <w:top w:val="single" w:sz="8" w:space="0" w:color="auto"/>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4</w:t>
            </w:r>
          </w:p>
        </w:tc>
        <w:tc>
          <w:tcPr>
            <w:tcW w:w="1418" w:type="dxa"/>
            <w:tcBorders>
              <w:top w:val="single" w:sz="8" w:space="0" w:color="auto"/>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86-98</w:t>
            </w:r>
          </w:p>
        </w:tc>
      </w:tr>
      <w:tr w:rsidR="00C43012" w:rsidRPr="00EB4D7C" w:rsidTr="00C43012">
        <w:trPr>
          <w:trHeight w:val="152"/>
          <w:jc w:val="center"/>
        </w:trPr>
        <w:tc>
          <w:tcPr>
            <w:tcW w:w="1553" w:type="dxa"/>
            <w:tcBorders>
              <w:top w:val="nil"/>
              <w:bottom w:val="nil"/>
            </w:tcBorders>
            <w:vAlign w:val="bottom"/>
          </w:tcPr>
          <w:p w:rsidR="00C43012" w:rsidRPr="00EB4D7C" w:rsidRDefault="00C43012" w:rsidP="0083613C">
            <w:pPr>
              <w:rPr>
                <w:rFonts w:asciiTheme="majorBidi" w:hAnsiTheme="majorBidi" w:cstheme="majorBidi"/>
                <w:i/>
                <w:iCs/>
                <w:sz w:val="20"/>
                <w:szCs w:val="20"/>
                <w:lang w:val="en-US"/>
              </w:rPr>
            </w:pPr>
            <w:r w:rsidRPr="00EB4D7C">
              <w:rPr>
                <w:rFonts w:asciiTheme="majorBidi" w:hAnsiTheme="majorBidi" w:cstheme="majorBidi"/>
                <w:i/>
                <w:iCs/>
                <w:sz w:val="20"/>
                <w:szCs w:val="20"/>
                <w:lang w:val="en-US"/>
              </w:rPr>
              <w:t>F19K23-483</w:t>
            </w:r>
            <w:r w:rsidRPr="00EB4D7C">
              <w:rPr>
                <w:rFonts w:asciiTheme="majorBidi" w:hAnsiTheme="majorBidi" w:cstheme="majorBidi"/>
                <w:sz w:val="20"/>
                <w:szCs w:val="20"/>
                <w:vertAlign w:val="superscript"/>
                <w:lang w:val="en-US"/>
              </w:rPr>
              <w:t xml:space="preserve"> 2</w:t>
            </w:r>
          </w:p>
        </w:tc>
        <w:tc>
          <w:tcPr>
            <w:tcW w:w="2385"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0.30</w:t>
            </w:r>
          </w:p>
        </w:tc>
        <w:tc>
          <w:tcPr>
            <w:tcW w:w="1238"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HEX</w:t>
            </w:r>
          </w:p>
        </w:tc>
        <w:tc>
          <w:tcPr>
            <w:tcW w:w="1701"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5</w:t>
            </w:r>
          </w:p>
        </w:tc>
        <w:tc>
          <w:tcPr>
            <w:tcW w:w="1418"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175-195</w:t>
            </w:r>
          </w:p>
        </w:tc>
      </w:tr>
      <w:tr w:rsidR="00C43012" w:rsidRPr="00EB4D7C" w:rsidTr="00C43012">
        <w:trPr>
          <w:trHeight w:val="152"/>
          <w:jc w:val="center"/>
        </w:trPr>
        <w:tc>
          <w:tcPr>
            <w:tcW w:w="1553" w:type="dxa"/>
            <w:tcBorders>
              <w:top w:val="nil"/>
              <w:bottom w:val="nil"/>
            </w:tcBorders>
            <w:vAlign w:val="bottom"/>
          </w:tcPr>
          <w:p w:rsidR="00C43012" w:rsidRPr="00EB4D7C" w:rsidRDefault="00C43012" w:rsidP="0083613C">
            <w:pPr>
              <w:rPr>
                <w:rFonts w:asciiTheme="majorBidi" w:hAnsiTheme="majorBidi" w:cstheme="majorBidi"/>
                <w:i/>
                <w:iCs/>
                <w:sz w:val="20"/>
                <w:szCs w:val="20"/>
                <w:lang w:val="en-US"/>
              </w:rPr>
            </w:pPr>
            <w:r w:rsidRPr="00EB4D7C">
              <w:rPr>
                <w:rFonts w:asciiTheme="majorBidi" w:hAnsiTheme="majorBidi" w:cstheme="majorBidi"/>
                <w:i/>
                <w:iCs/>
                <w:sz w:val="20"/>
                <w:szCs w:val="20"/>
                <w:lang w:val="en-US"/>
              </w:rPr>
              <w:t>SLL2</w:t>
            </w:r>
            <w:r w:rsidRPr="00EB4D7C">
              <w:rPr>
                <w:rFonts w:asciiTheme="majorBidi" w:hAnsiTheme="majorBidi" w:cstheme="majorBidi"/>
                <w:sz w:val="20"/>
                <w:szCs w:val="20"/>
                <w:vertAlign w:val="superscript"/>
                <w:lang w:val="en-US"/>
              </w:rPr>
              <w:t xml:space="preserve"> 2</w:t>
            </w:r>
          </w:p>
        </w:tc>
        <w:tc>
          <w:tcPr>
            <w:tcW w:w="2385"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0.25</w:t>
            </w:r>
          </w:p>
        </w:tc>
        <w:tc>
          <w:tcPr>
            <w:tcW w:w="1238"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HEX</w:t>
            </w:r>
          </w:p>
        </w:tc>
        <w:tc>
          <w:tcPr>
            <w:tcW w:w="1701"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2</w:t>
            </w:r>
          </w:p>
        </w:tc>
        <w:tc>
          <w:tcPr>
            <w:tcW w:w="1418"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297-309</w:t>
            </w:r>
          </w:p>
        </w:tc>
      </w:tr>
      <w:tr w:rsidR="00C43012" w:rsidRPr="00EB4D7C" w:rsidTr="00C43012">
        <w:trPr>
          <w:trHeight w:val="170"/>
          <w:jc w:val="center"/>
        </w:trPr>
        <w:tc>
          <w:tcPr>
            <w:tcW w:w="1553" w:type="dxa"/>
            <w:tcBorders>
              <w:top w:val="nil"/>
              <w:bottom w:val="nil"/>
            </w:tcBorders>
            <w:vAlign w:val="bottom"/>
          </w:tcPr>
          <w:p w:rsidR="00C43012" w:rsidRPr="00EB4D7C" w:rsidRDefault="00C43012" w:rsidP="0083613C">
            <w:pPr>
              <w:rPr>
                <w:rFonts w:asciiTheme="majorBidi" w:hAnsiTheme="majorBidi" w:cstheme="majorBidi"/>
                <w:i/>
                <w:iCs/>
                <w:sz w:val="20"/>
                <w:szCs w:val="20"/>
                <w:lang w:val="en-US"/>
              </w:rPr>
            </w:pPr>
            <w:r w:rsidRPr="00EB4D7C">
              <w:rPr>
                <w:rFonts w:asciiTheme="majorBidi" w:hAnsiTheme="majorBidi" w:cstheme="majorBidi"/>
                <w:i/>
                <w:iCs/>
                <w:sz w:val="20"/>
                <w:szCs w:val="20"/>
                <w:lang w:val="en-US"/>
              </w:rPr>
              <w:t>ICE14</w:t>
            </w:r>
            <w:r w:rsidRPr="00EB4D7C">
              <w:rPr>
                <w:rFonts w:asciiTheme="majorBidi" w:hAnsiTheme="majorBidi" w:cstheme="majorBidi"/>
                <w:sz w:val="20"/>
                <w:szCs w:val="20"/>
                <w:vertAlign w:val="superscript"/>
                <w:lang w:val="en-US"/>
              </w:rPr>
              <w:t xml:space="preserve"> 2</w:t>
            </w:r>
          </w:p>
        </w:tc>
        <w:tc>
          <w:tcPr>
            <w:tcW w:w="2385"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0.40</w:t>
            </w:r>
          </w:p>
        </w:tc>
        <w:tc>
          <w:tcPr>
            <w:tcW w:w="1238"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6-FAM</w:t>
            </w:r>
          </w:p>
        </w:tc>
        <w:tc>
          <w:tcPr>
            <w:tcW w:w="1701"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8</w:t>
            </w:r>
          </w:p>
        </w:tc>
        <w:tc>
          <w:tcPr>
            <w:tcW w:w="1418"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214-236</w:t>
            </w:r>
          </w:p>
        </w:tc>
      </w:tr>
      <w:tr w:rsidR="00C43012" w:rsidRPr="00EB4D7C" w:rsidTr="00C43012">
        <w:trPr>
          <w:trHeight w:val="143"/>
          <w:jc w:val="center"/>
        </w:trPr>
        <w:tc>
          <w:tcPr>
            <w:tcW w:w="1553" w:type="dxa"/>
            <w:tcBorders>
              <w:top w:val="nil"/>
              <w:bottom w:val="nil"/>
            </w:tcBorders>
            <w:vAlign w:val="bottom"/>
          </w:tcPr>
          <w:p w:rsidR="00C43012" w:rsidRPr="00EB4D7C" w:rsidRDefault="00C43012" w:rsidP="0083613C">
            <w:pPr>
              <w:rPr>
                <w:rFonts w:asciiTheme="majorBidi" w:hAnsiTheme="majorBidi" w:cstheme="majorBidi"/>
                <w:i/>
                <w:iCs/>
                <w:sz w:val="20"/>
                <w:szCs w:val="20"/>
                <w:lang w:val="en-US"/>
              </w:rPr>
            </w:pPr>
            <w:proofErr w:type="spellStart"/>
            <w:r w:rsidRPr="00EB4D7C">
              <w:rPr>
                <w:rFonts w:asciiTheme="majorBidi" w:hAnsiTheme="majorBidi" w:cstheme="majorBidi"/>
                <w:i/>
                <w:iCs/>
                <w:sz w:val="20"/>
                <w:szCs w:val="20"/>
                <w:lang w:val="en-US"/>
              </w:rPr>
              <w:t>AthZFPG</w:t>
            </w:r>
            <w:proofErr w:type="spellEnd"/>
            <w:r w:rsidRPr="00EB4D7C">
              <w:rPr>
                <w:rFonts w:asciiTheme="majorBidi" w:hAnsiTheme="majorBidi" w:cstheme="majorBidi"/>
                <w:sz w:val="20"/>
                <w:szCs w:val="20"/>
                <w:vertAlign w:val="superscript"/>
                <w:lang w:val="en-US"/>
              </w:rPr>
              <w:t xml:space="preserve"> 2</w:t>
            </w:r>
          </w:p>
        </w:tc>
        <w:tc>
          <w:tcPr>
            <w:tcW w:w="2385"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0.50</w:t>
            </w:r>
          </w:p>
        </w:tc>
        <w:tc>
          <w:tcPr>
            <w:tcW w:w="1238"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6-FAM</w:t>
            </w:r>
          </w:p>
        </w:tc>
        <w:tc>
          <w:tcPr>
            <w:tcW w:w="1701"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14</w:t>
            </w:r>
          </w:p>
        </w:tc>
        <w:tc>
          <w:tcPr>
            <w:tcW w:w="1418"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134-168</w:t>
            </w:r>
          </w:p>
        </w:tc>
      </w:tr>
      <w:tr w:rsidR="00C43012" w:rsidRPr="00EB4D7C" w:rsidTr="00C43012">
        <w:trPr>
          <w:trHeight w:val="152"/>
          <w:jc w:val="center"/>
        </w:trPr>
        <w:tc>
          <w:tcPr>
            <w:tcW w:w="1553" w:type="dxa"/>
            <w:tcBorders>
              <w:top w:val="nil"/>
              <w:bottom w:val="nil"/>
            </w:tcBorders>
            <w:vAlign w:val="bottom"/>
          </w:tcPr>
          <w:p w:rsidR="00C43012" w:rsidRPr="00EB4D7C" w:rsidRDefault="00C43012" w:rsidP="00B1646F">
            <w:pPr>
              <w:rPr>
                <w:rFonts w:asciiTheme="majorBidi" w:hAnsiTheme="majorBidi" w:cstheme="majorBidi"/>
                <w:i/>
                <w:iCs/>
                <w:sz w:val="20"/>
                <w:szCs w:val="20"/>
                <w:lang w:val="en-US"/>
              </w:rPr>
            </w:pPr>
            <w:r w:rsidRPr="00EB4D7C">
              <w:rPr>
                <w:rFonts w:asciiTheme="majorBidi" w:hAnsiTheme="majorBidi" w:cstheme="majorBidi"/>
                <w:i/>
                <w:iCs/>
                <w:sz w:val="20"/>
                <w:szCs w:val="20"/>
                <w:lang w:val="en-US"/>
              </w:rPr>
              <w:t>nga280</w:t>
            </w:r>
            <w:r w:rsidRPr="00EB4D7C">
              <w:rPr>
                <w:rFonts w:asciiTheme="majorBidi" w:hAnsiTheme="majorBidi" w:cstheme="majorBidi"/>
                <w:sz w:val="20"/>
                <w:szCs w:val="20"/>
                <w:vertAlign w:val="superscript"/>
                <w:lang w:val="en-US"/>
              </w:rPr>
              <w:t xml:space="preserve"> 1,2</w:t>
            </w:r>
          </w:p>
        </w:tc>
        <w:tc>
          <w:tcPr>
            <w:tcW w:w="2385"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0.20</w:t>
            </w:r>
          </w:p>
        </w:tc>
        <w:tc>
          <w:tcPr>
            <w:tcW w:w="1238"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NED</w:t>
            </w:r>
          </w:p>
        </w:tc>
        <w:tc>
          <w:tcPr>
            <w:tcW w:w="1701"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3</w:t>
            </w:r>
          </w:p>
        </w:tc>
        <w:tc>
          <w:tcPr>
            <w:tcW w:w="1418"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74-80</w:t>
            </w:r>
          </w:p>
        </w:tc>
      </w:tr>
      <w:tr w:rsidR="00C43012" w:rsidRPr="00EB4D7C" w:rsidTr="00C43012">
        <w:trPr>
          <w:trHeight w:val="152"/>
          <w:jc w:val="center"/>
        </w:trPr>
        <w:tc>
          <w:tcPr>
            <w:tcW w:w="1553" w:type="dxa"/>
            <w:tcBorders>
              <w:top w:val="nil"/>
              <w:bottom w:val="nil"/>
            </w:tcBorders>
            <w:vAlign w:val="bottom"/>
          </w:tcPr>
          <w:p w:rsidR="00C43012" w:rsidRPr="00EB4D7C" w:rsidRDefault="00C43012" w:rsidP="0083613C">
            <w:pPr>
              <w:rPr>
                <w:rFonts w:asciiTheme="majorBidi" w:hAnsiTheme="majorBidi" w:cstheme="majorBidi"/>
                <w:i/>
                <w:iCs/>
                <w:sz w:val="20"/>
                <w:szCs w:val="20"/>
                <w:lang w:val="en-US"/>
              </w:rPr>
            </w:pPr>
            <w:r w:rsidRPr="00EB4D7C">
              <w:rPr>
                <w:rFonts w:asciiTheme="majorBidi" w:hAnsiTheme="majorBidi" w:cstheme="majorBidi"/>
                <w:i/>
                <w:iCs/>
                <w:sz w:val="20"/>
                <w:szCs w:val="20"/>
                <w:lang w:val="en-US"/>
              </w:rPr>
              <w:t>ATTS0392</w:t>
            </w:r>
            <w:r w:rsidRPr="00EB4D7C">
              <w:rPr>
                <w:rFonts w:asciiTheme="majorBidi" w:hAnsiTheme="majorBidi" w:cstheme="majorBidi"/>
                <w:sz w:val="20"/>
                <w:szCs w:val="20"/>
                <w:vertAlign w:val="superscript"/>
                <w:lang w:val="en-US"/>
              </w:rPr>
              <w:t xml:space="preserve"> 2</w:t>
            </w:r>
          </w:p>
        </w:tc>
        <w:tc>
          <w:tcPr>
            <w:tcW w:w="2385"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0.20</w:t>
            </w:r>
          </w:p>
        </w:tc>
        <w:tc>
          <w:tcPr>
            <w:tcW w:w="1238"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NED</w:t>
            </w:r>
          </w:p>
        </w:tc>
        <w:tc>
          <w:tcPr>
            <w:tcW w:w="1701"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4</w:t>
            </w:r>
          </w:p>
        </w:tc>
        <w:tc>
          <w:tcPr>
            <w:tcW w:w="1418"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136-154</w:t>
            </w:r>
          </w:p>
        </w:tc>
      </w:tr>
      <w:tr w:rsidR="00C43012" w:rsidRPr="00EB4D7C" w:rsidTr="00C43012">
        <w:trPr>
          <w:trHeight w:val="161"/>
          <w:jc w:val="center"/>
        </w:trPr>
        <w:tc>
          <w:tcPr>
            <w:tcW w:w="1553" w:type="dxa"/>
            <w:tcBorders>
              <w:top w:val="nil"/>
              <w:bottom w:val="nil"/>
            </w:tcBorders>
            <w:vAlign w:val="bottom"/>
          </w:tcPr>
          <w:p w:rsidR="00C43012" w:rsidRPr="00EB4D7C" w:rsidRDefault="00C43012" w:rsidP="0083613C">
            <w:pPr>
              <w:rPr>
                <w:rFonts w:asciiTheme="majorBidi" w:hAnsiTheme="majorBidi" w:cstheme="majorBidi"/>
                <w:i/>
                <w:iCs/>
                <w:sz w:val="20"/>
                <w:szCs w:val="20"/>
                <w:lang w:val="en-US"/>
              </w:rPr>
            </w:pPr>
            <w:r w:rsidRPr="00EB4D7C">
              <w:rPr>
                <w:rFonts w:asciiTheme="majorBidi" w:hAnsiTheme="majorBidi" w:cstheme="majorBidi"/>
                <w:i/>
                <w:iCs/>
                <w:sz w:val="20"/>
                <w:szCs w:val="20"/>
                <w:lang w:val="en-US"/>
              </w:rPr>
              <w:t>ICE13</w:t>
            </w:r>
            <w:r w:rsidRPr="00EB4D7C">
              <w:rPr>
                <w:rFonts w:asciiTheme="majorBidi" w:hAnsiTheme="majorBidi" w:cstheme="majorBidi"/>
                <w:sz w:val="20"/>
                <w:szCs w:val="20"/>
                <w:vertAlign w:val="superscript"/>
                <w:lang w:val="en-US"/>
              </w:rPr>
              <w:t xml:space="preserve"> 2</w:t>
            </w:r>
          </w:p>
        </w:tc>
        <w:tc>
          <w:tcPr>
            <w:tcW w:w="2385"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0.20</w:t>
            </w:r>
          </w:p>
        </w:tc>
        <w:tc>
          <w:tcPr>
            <w:tcW w:w="1238"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NED</w:t>
            </w:r>
          </w:p>
        </w:tc>
        <w:tc>
          <w:tcPr>
            <w:tcW w:w="1701" w:type="dxa"/>
            <w:tcBorders>
              <w:top w:val="nil"/>
              <w:bottom w:val="nil"/>
            </w:tcBorders>
            <w:vAlign w:val="bottom"/>
          </w:tcPr>
          <w:p w:rsidR="00C43012" w:rsidRPr="00EB4D7C" w:rsidRDefault="00C43012" w:rsidP="000D25EC">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1</w:t>
            </w:r>
            <w:r w:rsidR="000D25EC">
              <w:rPr>
                <w:rFonts w:asciiTheme="majorBidi" w:hAnsiTheme="majorBidi" w:cstheme="majorBidi"/>
                <w:sz w:val="20"/>
                <w:szCs w:val="20"/>
                <w:lang w:val="en-US"/>
              </w:rPr>
              <w:t>0</w:t>
            </w:r>
          </w:p>
        </w:tc>
        <w:tc>
          <w:tcPr>
            <w:tcW w:w="1418"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218-258</w:t>
            </w:r>
          </w:p>
        </w:tc>
      </w:tr>
      <w:tr w:rsidR="00C43012" w:rsidRPr="00EB4D7C" w:rsidTr="00C43012">
        <w:trPr>
          <w:trHeight w:val="206"/>
          <w:jc w:val="center"/>
        </w:trPr>
        <w:tc>
          <w:tcPr>
            <w:tcW w:w="1553" w:type="dxa"/>
            <w:tcBorders>
              <w:top w:val="nil"/>
              <w:bottom w:val="single" w:sz="8" w:space="0" w:color="auto"/>
            </w:tcBorders>
            <w:vAlign w:val="bottom"/>
          </w:tcPr>
          <w:p w:rsidR="00C43012" w:rsidRPr="00EB4D7C" w:rsidRDefault="00C43012" w:rsidP="00B1646F">
            <w:pPr>
              <w:rPr>
                <w:rFonts w:asciiTheme="majorBidi" w:hAnsiTheme="majorBidi" w:cstheme="majorBidi"/>
                <w:b/>
                <w:bCs/>
                <w:sz w:val="20"/>
                <w:szCs w:val="20"/>
                <w:lang w:val="en-US"/>
              </w:rPr>
            </w:pPr>
            <w:r w:rsidRPr="00EB4D7C">
              <w:rPr>
                <w:rFonts w:asciiTheme="majorBidi" w:hAnsiTheme="majorBidi" w:cstheme="majorBidi"/>
                <w:b/>
                <w:bCs/>
                <w:sz w:val="20"/>
                <w:szCs w:val="20"/>
                <w:lang w:val="en-US"/>
              </w:rPr>
              <w:t>Multiplex 3</w:t>
            </w:r>
          </w:p>
        </w:tc>
        <w:tc>
          <w:tcPr>
            <w:tcW w:w="2385" w:type="dxa"/>
            <w:tcBorders>
              <w:top w:val="nil"/>
              <w:bottom w:val="single" w:sz="8" w:space="0" w:color="auto"/>
            </w:tcBorders>
          </w:tcPr>
          <w:p w:rsidR="00C43012" w:rsidRPr="00EB4D7C" w:rsidRDefault="00C43012" w:rsidP="00CD2CE7">
            <w:pPr>
              <w:jc w:val="center"/>
              <w:rPr>
                <w:rFonts w:asciiTheme="majorBidi" w:hAnsiTheme="majorBidi" w:cstheme="majorBidi"/>
                <w:sz w:val="20"/>
                <w:szCs w:val="20"/>
                <w:lang w:val="en-US"/>
              </w:rPr>
            </w:pPr>
          </w:p>
        </w:tc>
        <w:tc>
          <w:tcPr>
            <w:tcW w:w="1238" w:type="dxa"/>
            <w:tcBorders>
              <w:top w:val="nil"/>
              <w:bottom w:val="single" w:sz="8" w:space="0" w:color="auto"/>
            </w:tcBorders>
          </w:tcPr>
          <w:p w:rsidR="00C43012" w:rsidRPr="00EB4D7C" w:rsidRDefault="00C43012" w:rsidP="00CD2CE7">
            <w:pPr>
              <w:jc w:val="center"/>
              <w:rPr>
                <w:rFonts w:asciiTheme="majorBidi" w:hAnsiTheme="majorBidi" w:cstheme="majorBidi"/>
                <w:sz w:val="20"/>
                <w:szCs w:val="20"/>
                <w:lang w:val="en-US"/>
              </w:rPr>
            </w:pPr>
          </w:p>
        </w:tc>
        <w:tc>
          <w:tcPr>
            <w:tcW w:w="1701" w:type="dxa"/>
            <w:tcBorders>
              <w:top w:val="nil"/>
              <w:bottom w:val="single" w:sz="8" w:space="0" w:color="auto"/>
            </w:tcBorders>
          </w:tcPr>
          <w:p w:rsidR="00C43012" w:rsidRPr="00EB4D7C" w:rsidRDefault="00C43012" w:rsidP="00CD2CE7">
            <w:pPr>
              <w:jc w:val="center"/>
              <w:rPr>
                <w:rFonts w:asciiTheme="majorBidi" w:hAnsiTheme="majorBidi" w:cstheme="majorBidi"/>
                <w:sz w:val="20"/>
                <w:szCs w:val="20"/>
                <w:lang w:val="en-US"/>
              </w:rPr>
            </w:pPr>
          </w:p>
        </w:tc>
        <w:tc>
          <w:tcPr>
            <w:tcW w:w="1418" w:type="dxa"/>
            <w:tcBorders>
              <w:top w:val="nil"/>
              <w:bottom w:val="single" w:sz="8" w:space="0" w:color="auto"/>
            </w:tcBorders>
          </w:tcPr>
          <w:p w:rsidR="00C43012" w:rsidRPr="00EB4D7C" w:rsidRDefault="00C43012" w:rsidP="00CD2CE7">
            <w:pPr>
              <w:jc w:val="center"/>
              <w:rPr>
                <w:rFonts w:asciiTheme="majorBidi" w:hAnsiTheme="majorBidi" w:cstheme="majorBidi"/>
                <w:sz w:val="20"/>
                <w:szCs w:val="20"/>
                <w:lang w:val="en-US"/>
              </w:rPr>
            </w:pPr>
          </w:p>
        </w:tc>
      </w:tr>
      <w:tr w:rsidR="00C43012" w:rsidRPr="00EB4D7C" w:rsidTr="00C43012">
        <w:trPr>
          <w:trHeight w:val="206"/>
          <w:jc w:val="center"/>
        </w:trPr>
        <w:tc>
          <w:tcPr>
            <w:tcW w:w="1553" w:type="dxa"/>
            <w:tcBorders>
              <w:top w:val="single" w:sz="8" w:space="0" w:color="auto"/>
              <w:bottom w:val="nil"/>
            </w:tcBorders>
            <w:vAlign w:val="bottom"/>
          </w:tcPr>
          <w:p w:rsidR="00C43012" w:rsidRPr="00EB4D7C" w:rsidRDefault="00C43012" w:rsidP="0083613C">
            <w:pPr>
              <w:rPr>
                <w:rFonts w:asciiTheme="majorBidi" w:hAnsiTheme="majorBidi" w:cstheme="majorBidi"/>
                <w:i/>
                <w:iCs/>
                <w:sz w:val="20"/>
                <w:szCs w:val="20"/>
                <w:lang w:val="en-US"/>
              </w:rPr>
            </w:pPr>
            <w:r w:rsidRPr="00EB4D7C">
              <w:rPr>
                <w:rFonts w:asciiTheme="majorBidi" w:hAnsiTheme="majorBidi" w:cstheme="majorBidi"/>
                <w:i/>
                <w:iCs/>
                <w:sz w:val="20"/>
                <w:szCs w:val="20"/>
                <w:lang w:val="en-US"/>
              </w:rPr>
              <w:t>ICE11</w:t>
            </w:r>
            <w:r w:rsidRPr="00EB4D7C">
              <w:rPr>
                <w:rFonts w:asciiTheme="majorBidi" w:hAnsiTheme="majorBidi" w:cstheme="majorBidi"/>
                <w:sz w:val="20"/>
                <w:szCs w:val="20"/>
                <w:vertAlign w:val="superscript"/>
                <w:lang w:val="en-US"/>
              </w:rPr>
              <w:t xml:space="preserve"> 2</w:t>
            </w:r>
          </w:p>
        </w:tc>
        <w:tc>
          <w:tcPr>
            <w:tcW w:w="2385" w:type="dxa"/>
            <w:tcBorders>
              <w:top w:val="single" w:sz="8" w:space="0" w:color="auto"/>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0.30</w:t>
            </w:r>
          </w:p>
        </w:tc>
        <w:tc>
          <w:tcPr>
            <w:tcW w:w="1238" w:type="dxa"/>
            <w:tcBorders>
              <w:top w:val="single" w:sz="8" w:space="0" w:color="auto"/>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HEX</w:t>
            </w:r>
          </w:p>
        </w:tc>
        <w:tc>
          <w:tcPr>
            <w:tcW w:w="1701" w:type="dxa"/>
            <w:tcBorders>
              <w:top w:val="single" w:sz="8" w:space="0" w:color="auto"/>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3</w:t>
            </w:r>
          </w:p>
        </w:tc>
        <w:tc>
          <w:tcPr>
            <w:tcW w:w="1418" w:type="dxa"/>
            <w:tcBorders>
              <w:top w:val="single" w:sz="8" w:space="0" w:color="auto"/>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130-142</w:t>
            </w:r>
          </w:p>
        </w:tc>
      </w:tr>
      <w:tr w:rsidR="00C43012" w:rsidRPr="00EB4D7C" w:rsidTr="00C43012">
        <w:trPr>
          <w:trHeight w:val="161"/>
          <w:jc w:val="center"/>
        </w:trPr>
        <w:tc>
          <w:tcPr>
            <w:tcW w:w="1553" w:type="dxa"/>
            <w:tcBorders>
              <w:top w:val="nil"/>
              <w:bottom w:val="nil"/>
            </w:tcBorders>
            <w:vAlign w:val="bottom"/>
          </w:tcPr>
          <w:p w:rsidR="00C43012" w:rsidRPr="00EB4D7C" w:rsidRDefault="00C43012" w:rsidP="0083613C">
            <w:pPr>
              <w:rPr>
                <w:rFonts w:asciiTheme="majorBidi" w:hAnsiTheme="majorBidi" w:cstheme="majorBidi"/>
                <w:i/>
                <w:iCs/>
                <w:sz w:val="20"/>
                <w:szCs w:val="20"/>
                <w:lang w:val="en-US"/>
              </w:rPr>
            </w:pPr>
            <w:r w:rsidRPr="00EB4D7C">
              <w:rPr>
                <w:rFonts w:asciiTheme="majorBidi" w:hAnsiTheme="majorBidi" w:cstheme="majorBidi"/>
                <w:i/>
                <w:iCs/>
                <w:sz w:val="20"/>
                <w:szCs w:val="20"/>
                <w:lang w:val="en-US"/>
              </w:rPr>
              <w:t>ELF3</w:t>
            </w:r>
            <w:r w:rsidRPr="00EB4D7C">
              <w:rPr>
                <w:rFonts w:asciiTheme="majorBidi" w:hAnsiTheme="majorBidi" w:cstheme="majorBidi"/>
                <w:sz w:val="20"/>
                <w:szCs w:val="20"/>
                <w:vertAlign w:val="superscript"/>
                <w:lang w:val="en-US"/>
              </w:rPr>
              <w:t xml:space="preserve"> 4</w:t>
            </w:r>
          </w:p>
        </w:tc>
        <w:tc>
          <w:tcPr>
            <w:tcW w:w="2385"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0.20</w:t>
            </w:r>
          </w:p>
        </w:tc>
        <w:tc>
          <w:tcPr>
            <w:tcW w:w="1238"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HEX</w:t>
            </w:r>
          </w:p>
        </w:tc>
        <w:tc>
          <w:tcPr>
            <w:tcW w:w="1701"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14</w:t>
            </w:r>
          </w:p>
        </w:tc>
        <w:tc>
          <w:tcPr>
            <w:tcW w:w="1418"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283-326</w:t>
            </w:r>
          </w:p>
        </w:tc>
      </w:tr>
      <w:tr w:rsidR="00C43012" w:rsidRPr="00EB4D7C" w:rsidTr="00C43012">
        <w:trPr>
          <w:trHeight w:val="152"/>
          <w:jc w:val="center"/>
        </w:trPr>
        <w:tc>
          <w:tcPr>
            <w:tcW w:w="1553" w:type="dxa"/>
            <w:tcBorders>
              <w:top w:val="nil"/>
              <w:bottom w:val="nil"/>
            </w:tcBorders>
            <w:vAlign w:val="bottom"/>
          </w:tcPr>
          <w:p w:rsidR="00C43012" w:rsidRPr="00EB4D7C" w:rsidRDefault="00C43012" w:rsidP="0083613C">
            <w:pPr>
              <w:rPr>
                <w:rFonts w:asciiTheme="majorBidi" w:hAnsiTheme="majorBidi" w:cstheme="majorBidi"/>
                <w:i/>
                <w:iCs/>
                <w:sz w:val="20"/>
                <w:szCs w:val="20"/>
                <w:lang w:val="en-US"/>
              </w:rPr>
            </w:pPr>
            <w:r w:rsidRPr="00EB4D7C">
              <w:rPr>
                <w:rFonts w:asciiTheme="majorBidi" w:hAnsiTheme="majorBidi" w:cstheme="majorBidi"/>
                <w:i/>
                <w:iCs/>
                <w:sz w:val="20"/>
                <w:szCs w:val="20"/>
                <w:lang w:val="en-US"/>
              </w:rPr>
              <w:t>ICE7</w:t>
            </w:r>
            <w:r w:rsidRPr="00EB4D7C">
              <w:rPr>
                <w:rFonts w:asciiTheme="majorBidi" w:hAnsiTheme="majorBidi" w:cstheme="majorBidi"/>
                <w:sz w:val="20"/>
                <w:szCs w:val="20"/>
                <w:vertAlign w:val="superscript"/>
                <w:lang w:val="en-US"/>
              </w:rPr>
              <w:t xml:space="preserve"> 2</w:t>
            </w:r>
          </w:p>
        </w:tc>
        <w:tc>
          <w:tcPr>
            <w:tcW w:w="2385"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0.20</w:t>
            </w:r>
          </w:p>
        </w:tc>
        <w:tc>
          <w:tcPr>
            <w:tcW w:w="1238"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6-FAM</w:t>
            </w:r>
          </w:p>
        </w:tc>
        <w:tc>
          <w:tcPr>
            <w:tcW w:w="1701" w:type="dxa"/>
            <w:tcBorders>
              <w:top w:val="nil"/>
              <w:bottom w:val="nil"/>
            </w:tcBorders>
            <w:vAlign w:val="bottom"/>
          </w:tcPr>
          <w:p w:rsidR="00C43012" w:rsidRPr="00EB4D7C" w:rsidRDefault="000D25EC" w:rsidP="00CD2CE7">
            <w:pPr>
              <w:jc w:val="center"/>
              <w:rPr>
                <w:rFonts w:asciiTheme="majorBidi" w:hAnsiTheme="majorBidi" w:cstheme="majorBidi"/>
                <w:sz w:val="20"/>
                <w:szCs w:val="20"/>
                <w:lang w:val="en-US"/>
              </w:rPr>
            </w:pPr>
            <w:r>
              <w:rPr>
                <w:rFonts w:asciiTheme="majorBidi" w:hAnsiTheme="majorBidi" w:cstheme="majorBidi"/>
                <w:sz w:val="20"/>
                <w:szCs w:val="20"/>
                <w:lang w:val="en-US"/>
              </w:rPr>
              <w:t>2</w:t>
            </w:r>
          </w:p>
        </w:tc>
        <w:tc>
          <w:tcPr>
            <w:tcW w:w="1418" w:type="dxa"/>
            <w:tcBorders>
              <w:top w:val="nil"/>
              <w:bottom w:val="nil"/>
            </w:tcBorders>
            <w:vAlign w:val="bottom"/>
          </w:tcPr>
          <w:p w:rsidR="00C43012" w:rsidRPr="00EB4D7C" w:rsidRDefault="000D25EC" w:rsidP="000D25EC">
            <w:pPr>
              <w:jc w:val="center"/>
              <w:rPr>
                <w:rFonts w:asciiTheme="majorBidi" w:hAnsiTheme="majorBidi" w:cstheme="majorBidi"/>
                <w:sz w:val="20"/>
                <w:szCs w:val="20"/>
                <w:lang w:val="en-US"/>
              </w:rPr>
            </w:pPr>
            <w:r>
              <w:rPr>
                <w:rFonts w:asciiTheme="majorBidi" w:hAnsiTheme="majorBidi" w:cstheme="majorBidi"/>
                <w:sz w:val="20"/>
                <w:szCs w:val="20"/>
                <w:lang w:val="en-US"/>
              </w:rPr>
              <w:t>92-95</w:t>
            </w:r>
          </w:p>
        </w:tc>
      </w:tr>
      <w:tr w:rsidR="00C43012" w:rsidRPr="00EB4D7C" w:rsidTr="00C43012">
        <w:trPr>
          <w:trHeight w:val="143"/>
          <w:jc w:val="center"/>
        </w:trPr>
        <w:tc>
          <w:tcPr>
            <w:tcW w:w="1553" w:type="dxa"/>
            <w:tcBorders>
              <w:top w:val="nil"/>
              <w:bottom w:val="nil"/>
            </w:tcBorders>
            <w:vAlign w:val="bottom"/>
          </w:tcPr>
          <w:p w:rsidR="00C43012" w:rsidRPr="00EB4D7C" w:rsidRDefault="00C43012" w:rsidP="0083613C">
            <w:pPr>
              <w:rPr>
                <w:rFonts w:asciiTheme="majorBidi" w:hAnsiTheme="majorBidi" w:cstheme="majorBidi"/>
                <w:i/>
                <w:iCs/>
                <w:sz w:val="20"/>
                <w:szCs w:val="20"/>
                <w:lang w:val="en-US"/>
              </w:rPr>
            </w:pPr>
            <w:r w:rsidRPr="00EB4D7C">
              <w:rPr>
                <w:rFonts w:asciiTheme="majorBidi" w:hAnsiTheme="majorBidi" w:cstheme="majorBidi"/>
                <w:i/>
                <w:iCs/>
                <w:sz w:val="20"/>
                <w:szCs w:val="20"/>
                <w:lang w:val="en-US"/>
              </w:rPr>
              <w:t xml:space="preserve">MSAT2.22 </w:t>
            </w:r>
            <w:r w:rsidRPr="00EB4D7C">
              <w:rPr>
                <w:rFonts w:asciiTheme="majorBidi" w:hAnsiTheme="majorBidi" w:cstheme="majorBidi"/>
                <w:sz w:val="20"/>
                <w:szCs w:val="20"/>
                <w:vertAlign w:val="superscript"/>
                <w:lang w:val="en-US"/>
              </w:rPr>
              <w:t>3</w:t>
            </w:r>
          </w:p>
        </w:tc>
        <w:tc>
          <w:tcPr>
            <w:tcW w:w="2385"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0.25</w:t>
            </w:r>
          </w:p>
        </w:tc>
        <w:tc>
          <w:tcPr>
            <w:tcW w:w="1238"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6-FAM</w:t>
            </w:r>
          </w:p>
        </w:tc>
        <w:tc>
          <w:tcPr>
            <w:tcW w:w="1701" w:type="dxa"/>
            <w:tcBorders>
              <w:top w:val="nil"/>
              <w:bottom w:val="nil"/>
            </w:tcBorders>
            <w:vAlign w:val="bottom"/>
          </w:tcPr>
          <w:p w:rsidR="00C43012" w:rsidRPr="00EB4D7C" w:rsidRDefault="00FF1887" w:rsidP="00CD2CE7">
            <w:pPr>
              <w:jc w:val="center"/>
              <w:rPr>
                <w:rFonts w:asciiTheme="majorBidi" w:hAnsiTheme="majorBidi" w:cstheme="majorBidi"/>
                <w:sz w:val="20"/>
                <w:szCs w:val="20"/>
                <w:lang w:val="en-US"/>
              </w:rPr>
            </w:pPr>
            <w:r>
              <w:rPr>
                <w:rFonts w:asciiTheme="majorBidi" w:hAnsiTheme="majorBidi" w:cstheme="majorBidi"/>
                <w:sz w:val="20"/>
                <w:szCs w:val="20"/>
                <w:lang w:val="en-US"/>
              </w:rPr>
              <w:t>6</w:t>
            </w:r>
          </w:p>
        </w:tc>
        <w:tc>
          <w:tcPr>
            <w:tcW w:w="1418"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209-224</w:t>
            </w:r>
          </w:p>
        </w:tc>
      </w:tr>
      <w:tr w:rsidR="00C43012" w:rsidRPr="00EB4D7C" w:rsidTr="00C43012">
        <w:trPr>
          <w:trHeight w:val="170"/>
          <w:jc w:val="center"/>
        </w:trPr>
        <w:tc>
          <w:tcPr>
            <w:tcW w:w="1553" w:type="dxa"/>
            <w:tcBorders>
              <w:top w:val="nil"/>
              <w:bottom w:val="nil"/>
            </w:tcBorders>
            <w:vAlign w:val="bottom"/>
          </w:tcPr>
          <w:p w:rsidR="00C43012" w:rsidRPr="00EB4D7C" w:rsidRDefault="00C43012" w:rsidP="0083613C">
            <w:pPr>
              <w:rPr>
                <w:rFonts w:asciiTheme="majorBidi" w:hAnsiTheme="majorBidi" w:cstheme="majorBidi"/>
                <w:i/>
                <w:iCs/>
                <w:sz w:val="20"/>
                <w:szCs w:val="20"/>
                <w:lang w:val="en-US"/>
              </w:rPr>
            </w:pPr>
            <w:r w:rsidRPr="00EB4D7C">
              <w:rPr>
                <w:rFonts w:asciiTheme="majorBidi" w:hAnsiTheme="majorBidi" w:cstheme="majorBidi"/>
                <w:i/>
                <w:iCs/>
                <w:sz w:val="20"/>
                <w:szCs w:val="20"/>
                <w:lang w:val="en-US"/>
              </w:rPr>
              <w:t>ICE3</w:t>
            </w:r>
            <w:r w:rsidRPr="00EB4D7C">
              <w:rPr>
                <w:rFonts w:asciiTheme="majorBidi" w:hAnsiTheme="majorBidi" w:cstheme="majorBidi"/>
                <w:sz w:val="20"/>
                <w:szCs w:val="20"/>
                <w:vertAlign w:val="superscript"/>
                <w:lang w:val="en-US"/>
              </w:rPr>
              <w:t xml:space="preserve"> 2</w:t>
            </w:r>
          </w:p>
        </w:tc>
        <w:tc>
          <w:tcPr>
            <w:tcW w:w="2385"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0.10</w:t>
            </w:r>
          </w:p>
        </w:tc>
        <w:tc>
          <w:tcPr>
            <w:tcW w:w="1238" w:type="dxa"/>
            <w:tcBorders>
              <w:top w:val="nil"/>
              <w:bottom w:val="nil"/>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NED</w:t>
            </w:r>
          </w:p>
        </w:tc>
        <w:tc>
          <w:tcPr>
            <w:tcW w:w="1701"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26</w:t>
            </w:r>
          </w:p>
        </w:tc>
        <w:tc>
          <w:tcPr>
            <w:tcW w:w="1418" w:type="dxa"/>
            <w:tcBorders>
              <w:top w:val="nil"/>
              <w:bottom w:val="nil"/>
            </w:tcBorders>
            <w:vAlign w:val="bottom"/>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70-123</w:t>
            </w:r>
          </w:p>
        </w:tc>
      </w:tr>
      <w:tr w:rsidR="00C43012" w:rsidRPr="00EB4D7C" w:rsidTr="00C43012">
        <w:trPr>
          <w:trHeight w:val="202"/>
          <w:jc w:val="center"/>
        </w:trPr>
        <w:tc>
          <w:tcPr>
            <w:tcW w:w="1553" w:type="dxa"/>
            <w:tcBorders>
              <w:top w:val="nil"/>
              <w:bottom w:val="single" w:sz="12" w:space="0" w:color="auto"/>
            </w:tcBorders>
            <w:vAlign w:val="bottom"/>
          </w:tcPr>
          <w:p w:rsidR="00C43012" w:rsidRPr="00EB4D7C" w:rsidRDefault="00C43012" w:rsidP="00B1646F">
            <w:pPr>
              <w:rPr>
                <w:rFonts w:asciiTheme="majorBidi" w:hAnsiTheme="majorBidi" w:cstheme="majorBidi"/>
                <w:i/>
                <w:iCs/>
                <w:sz w:val="20"/>
                <w:szCs w:val="20"/>
                <w:lang w:val="en-US"/>
              </w:rPr>
            </w:pPr>
            <w:r w:rsidRPr="00EB4D7C">
              <w:rPr>
                <w:rFonts w:asciiTheme="majorBidi" w:hAnsiTheme="majorBidi" w:cstheme="majorBidi"/>
                <w:i/>
                <w:iCs/>
                <w:sz w:val="20"/>
                <w:szCs w:val="20"/>
                <w:lang w:val="en-US"/>
              </w:rPr>
              <w:t>nga112</w:t>
            </w:r>
            <w:r w:rsidRPr="00EB4D7C">
              <w:rPr>
                <w:rFonts w:asciiTheme="majorBidi" w:hAnsiTheme="majorBidi" w:cstheme="majorBidi"/>
                <w:sz w:val="20"/>
                <w:szCs w:val="20"/>
                <w:vertAlign w:val="superscript"/>
                <w:lang w:val="en-US"/>
              </w:rPr>
              <w:t xml:space="preserve"> 1,2</w:t>
            </w:r>
          </w:p>
        </w:tc>
        <w:tc>
          <w:tcPr>
            <w:tcW w:w="2385" w:type="dxa"/>
            <w:tcBorders>
              <w:top w:val="nil"/>
              <w:bottom w:val="single" w:sz="12" w:space="0" w:color="auto"/>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0.15</w:t>
            </w:r>
          </w:p>
        </w:tc>
        <w:tc>
          <w:tcPr>
            <w:tcW w:w="1238" w:type="dxa"/>
            <w:tcBorders>
              <w:top w:val="nil"/>
              <w:bottom w:val="single" w:sz="12" w:space="0" w:color="auto"/>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NED</w:t>
            </w:r>
          </w:p>
        </w:tc>
        <w:tc>
          <w:tcPr>
            <w:tcW w:w="1701" w:type="dxa"/>
            <w:tcBorders>
              <w:top w:val="nil"/>
              <w:bottom w:val="single" w:sz="12" w:space="0" w:color="auto"/>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5</w:t>
            </w:r>
          </w:p>
        </w:tc>
        <w:tc>
          <w:tcPr>
            <w:tcW w:w="1418" w:type="dxa"/>
            <w:tcBorders>
              <w:top w:val="nil"/>
              <w:bottom w:val="single" w:sz="12" w:space="0" w:color="auto"/>
            </w:tcBorders>
          </w:tcPr>
          <w:p w:rsidR="00C43012" w:rsidRPr="00EB4D7C" w:rsidRDefault="00C43012" w:rsidP="00CD2CE7">
            <w:pPr>
              <w:jc w:val="center"/>
              <w:rPr>
                <w:rFonts w:asciiTheme="majorBidi" w:hAnsiTheme="majorBidi" w:cstheme="majorBidi"/>
                <w:sz w:val="20"/>
                <w:szCs w:val="20"/>
                <w:lang w:val="en-US"/>
              </w:rPr>
            </w:pPr>
            <w:r w:rsidRPr="00EB4D7C">
              <w:rPr>
                <w:rFonts w:asciiTheme="majorBidi" w:hAnsiTheme="majorBidi" w:cstheme="majorBidi"/>
                <w:sz w:val="20"/>
                <w:szCs w:val="20"/>
                <w:lang w:val="en-US"/>
              </w:rPr>
              <w:t>217-230</w:t>
            </w:r>
          </w:p>
        </w:tc>
      </w:tr>
    </w:tbl>
    <w:p w:rsidR="00480495" w:rsidRPr="00C43012" w:rsidRDefault="00480495" w:rsidP="0083613C">
      <w:pPr>
        <w:autoSpaceDE w:val="0"/>
        <w:autoSpaceDN w:val="0"/>
        <w:adjustRightInd w:val="0"/>
        <w:spacing w:line="360" w:lineRule="auto"/>
        <w:rPr>
          <w:rFonts w:asciiTheme="majorBidi" w:hAnsiTheme="majorBidi" w:cstheme="majorBidi"/>
          <w:sz w:val="20"/>
          <w:szCs w:val="20"/>
          <w:lang w:val="en-US"/>
        </w:rPr>
      </w:pPr>
      <w:r w:rsidRPr="00EB4D7C">
        <w:rPr>
          <w:rFonts w:asciiTheme="majorBidi" w:hAnsiTheme="majorBidi" w:cstheme="majorBidi"/>
          <w:sz w:val="20"/>
          <w:szCs w:val="20"/>
          <w:lang w:val="en-US"/>
        </w:rPr>
        <w:t xml:space="preserve">The primer sequences of flanking regions for microsatellite loci are presented in </w:t>
      </w:r>
      <w:r w:rsidR="0083613C" w:rsidRPr="00EB4D7C">
        <w:rPr>
          <w:rFonts w:asciiTheme="majorBidi" w:hAnsiTheme="majorBidi" w:cstheme="majorBidi"/>
          <w:sz w:val="20"/>
          <w:szCs w:val="20"/>
          <w:lang w:val="en-US"/>
        </w:rPr>
        <w:t>1</w:t>
      </w:r>
      <w:r w:rsidR="00A00BAD" w:rsidRPr="00EB4D7C">
        <w:rPr>
          <w:rFonts w:asciiTheme="majorBidi" w:hAnsiTheme="majorBidi" w:cstheme="majorBidi"/>
          <w:sz w:val="20"/>
          <w:szCs w:val="20"/>
          <w:lang w:val="en-US"/>
        </w:rPr>
        <w:t>)</w:t>
      </w:r>
      <w:r w:rsidRPr="00EB4D7C">
        <w:rPr>
          <w:rFonts w:asciiTheme="majorBidi" w:hAnsiTheme="majorBidi" w:cstheme="majorBidi"/>
          <w:sz w:val="20"/>
          <w:szCs w:val="20"/>
          <w:lang w:val="en-US"/>
        </w:rPr>
        <w:t xml:space="preserve"> Bell and </w:t>
      </w:r>
      <w:proofErr w:type="spellStart"/>
      <w:r w:rsidRPr="00EB4D7C">
        <w:rPr>
          <w:rFonts w:asciiTheme="majorBidi" w:hAnsiTheme="majorBidi" w:cstheme="majorBidi"/>
          <w:sz w:val="20"/>
          <w:szCs w:val="20"/>
          <w:lang w:val="en-US"/>
        </w:rPr>
        <w:t>Ecker</w:t>
      </w:r>
      <w:proofErr w:type="spellEnd"/>
      <w:r w:rsidRPr="00EB4D7C">
        <w:rPr>
          <w:rFonts w:asciiTheme="majorBidi" w:hAnsiTheme="majorBidi" w:cstheme="majorBidi"/>
          <w:sz w:val="20"/>
          <w:szCs w:val="20"/>
          <w:lang w:val="en-US"/>
        </w:rPr>
        <w:t xml:space="preserve"> (1994), </w:t>
      </w:r>
      <w:r w:rsidR="0083613C" w:rsidRPr="00EB4D7C">
        <w:rPr>
          <w:rFonts w:asciiTheme="majorBidi" w:hAnsiTheme="majorBidi" w:cstheme="majorBidi"/>
          <w:sz w:val="20"/>
          <w:szCs w:val="20"/>
          <w:lang w:val="en-US"/>
        </w:rPr>
        <w:t>2</w:t>
      </w:r>
      <w:r w:rsidR="00A00BAD" w:rsidRPr="00EB4D7C">
        <w:rPr>
          <w:rFonts w:asciiTheme="majorBidi" w:hAnsiTheme="majorBidi" w:cstheme="majorBidi"/>
          <w:sz w:val="20"/>
          <w:szCs w:val="20"/>
          <w:lang w:val="en-US"/>
        </w:rPr>
        <w:t>)</w:t>
      </w:r>
      <w:r w:rsidRPr="00EB4D7C">
        <w:rPr>
          <w:rFonts w:asciiTheme="majorBidi" w:hAnsiTheme="majorBidi" w:cstheme="majorBidi"/>
          <w:sz w:val="20"/>
          <w:szCs w:val="20"/>
          <w:lang w:val="en-US"/>
        </w:rPr>
        <w:t xml:space="preserve"> </w:t>
      </w:r>
      <w:proofErr w:type="spellStart"/>
      <w:r w:rsidRPr="00EB4D7C">
        <w:rPr>
          <w:rFonts w:asciiTheme="majorBidi" w:hAnsiTheme="majorBidi" w:cstheme="majorBidi"/>
          <w:sz w:val="20"/>
          <w:szCs w:val="20"/>
          <w:lang w:val="en-US"/>
        </w:rPr>
        <w:t>Clauss</w:t>
      </w:r>
      <w:proofErr w:type="spellEnd"/>
      <w:r w:rsidRPr="00EB4D7C">
        <w:rPr>
          <w:rFonts w:asciiTheme="majorBidi" w:hAnsiTheme="majorBidi" w:cstheme="majorBidi"/>
          <w:sz w:val="20"/>
          <w:szCs w:val="20"/>
          <w:lang w:val="en-US"/>
        </w:rPr>
        <w:t xml:space="preserve"> </w:t>
      </w:r>
      <w:r w:rsidRPr="00E5246D">
        <w:rPr>
          <w:rFonts w:asciiTheme="majorBidi" w:hAnsiTheme="majorBidi" w:cstheme="majorBidi"/>
          <w:sz w:val="20"/>
          <w:szCs w:val="20"/>
          <w:lang w:val="en-US"/>
        </w:rPr>
        <w:t>et al.</w:t>
      </w:r>
      <w:r w:rsidRPr="00EB4D7C">
        <w:rPr>
          <w:rFonts w:asciiTheme="majorBidi" w:hAnsiTheme="majorBidi" w:cstheme="majorBidi"/>
          <w:sz w:val="20"/>
          <w:szCs w:val="20"/>
          <w:lang w:val="en-US"/>
        </w:rPr>
        <w:t xml:space="preserve"> </w:t>
      </w:r>
      <w:r w:rsidRPr="00C43012">
        <w:rPr>
          <w:rFonts w:asciiTheme="majorBidi" w:hAnsiTheme="majorBidi" w:cstheme="majorBidi"/>
          <w:sz w:val="20"/>
          <w:szCs w:val="20"/>
          <w:lang w:val="en-US"/>
        </w:rPr>
        <w:t xml:space="preserve">(2002), </w:t>
      </w:r>
      <w:r w:rsidR="0083613C" w:rsidRPr="00C43012">
        <w:rPr>
          <w:rFonts w:asciiTheme="majorBidi" w:hAnsiTheme="majorBidi" w:cstheme="majorBidi"/>
          <w:sz w:val="20"/>
          <w:szCs w:val="20"/>
          <w:lang w:val="en-US"/>
        </w:rPr>
        <w:t>3</w:t>
      </w:r>
      <w:r w:rsidR="00A00BAD" w:rsidRPr="00C43012">
        <w:rPr>
          <w:rFonts w:asciiTheme="majorBidi" w:hAnsiTheme="majorBidi" w:cstheme="majorBidi"/>
          <w:sz w:val="20"/>
          <w:szCs w:val="20"/>
          <w:lang w:val="en-US"/>
        </w:rPr>
        <w:t>)</w:t>
      </w:r>
      <w:r w:rsidRPr="00C43012">
        <w:rPr>
          <w:rFonts w:asciiTheme="majorBidi" w:hAnsiTheme="majorBidi" w:cstheme="majorBidi"/>
          <w:sz w:val="20"/>
          <w:szCs w:val="20"/>
          <w:lang w:val="en-US"/>
        </w:rPr>
        <w:t xml:space="preserve"> </w:t>
      </w:r>
      <w:proofErr w:type="spellStart"/>
      <w:r w:rsidRPr="00C43012">
        <w:rPr>
          <w:rFonts w:asciiTheme="majorBidi" w:hAnsiTheme="majorBidi" w:cstheme="majorBidi"/>
          <w:sz w:val="20"/>
          <w:szCs w:val="20"/>
          <w:lang w:val="en-US"/>
        </w:rPr>
        <w:t>Loudet</w:t>
      </w:r>
      <w:proofErr w:type="spellEnd"/>
      <w:r w:rsidRPr="00C43012">
        <w:rPr>
          <w:rFonts w:asciiTheme="majorBidi" w:hAnsiTheme="majorBidi" w:cstheme="majorBidi"/>
          <w:sz w:val="20"/>
          <w:szCs w:val="20"/>
          <w:lang w:val="en-US"/>
        </w:rPr>
        <w:t xml:space="preserve"> et al. (2002) and </w:t>
      </w:r>
      <w:r w:rsidR="0083613C" w:rsidRPr="00C43012">
        <w:rPr>
          <w:rFonts w:asciiTheme="majorBidi" w:hAnsiTheme="majorBidi" w:cstheme="majorBidi"/>
          <w:sz w:val="20"/>
          <w:szCs w:val="20"/>
          <w:lang w:val="en-US"/>
        </w:rPr>
        <w:t>4</w:t>
      </w:r>
      <w:r w:rsidR="00A00BAD" w:rsidRPr="00C43012">
        <w:rPr>
          <w:rFonts w:asciiTheme="majorBidi" w:hAnsiTheme="majorBidi" w:cstheme="majorBidi"/>
          <w:sz w:val="20"/>
          <w:szCs w:val="20"/>
          <w:lang w:val="en-US"/>
        </w:rPr>
        <w:t>)</w:t>
      </w:r>
      <w:r w:rsidRPr="00C43012">
        <w:rPr>
          <w:rFonts w:asciiTheme="majorBidi" w:hAnsiTheme="majorBidi" w:cstheme="majorBidi"/>
          <w:sz w:val="20"/>
          <w:szCs w:val="20"/>
          <w:lang w:val="en-US"/>
        </w:rPr>
        <w:t xml:space="preserve"> </w:t>
      </w:r>
      <w:proofErr w:type="spellStart"/>
      <w:r w:rsidRPr="00C43012">
        <w:rPr>
          <w:rFonts w:asciiTheme="majorBidi" w:hAnsiTheme="majorBidi" w:cstheme="majorBidi"/>
          <w:sz w:val="20"/>
          <w:szCs w:val="20"/>
          <w:lang w:val="en-US"/>
        </w:rPr>
        <w:t>Kuittinen</w:t>
      </w:r>
      <w:proofErr w:type="spellEnd"/>
      <w:r w:rsidRPr="00C43012">
        <w:rPr>
          <w:rFonts w:asciiTheme="majorBidi" w:hAnsiTheme="majorBidi" w:cstheme="majorBidi"/>
          <w:sz w:val="20"/>
          <w:szCs w:val="20"/>
          <w:lang w:val="en-US"/>
        </w:rPr>
        <w:t xml:space="preserve"> et al. (2004).</w:t>
      </w:r>
    </w:p>
    <w:p w:rsidR="00BC6075" w:rsidRDefault="00BC6075">
      <w:pPr>
        <w:spacing w:after="200" w:line="276" w:lineRule="auto"/>
        <w:rPr>
          <w:rFonts w:asciiTheme="majorBidi" w:hAnsiTheme="majorBidi" w:cstheme="majorBidi"/>
          <w:b/>
          <w:bCs/>
          <w:lang w:val="en-US" w:eastAsia="en-US"/>
        </w:rPr>
      </w:pPr>
      <w:r>
        <w:rPr>
          <w:rFonts w:asciiTheme="majorBidi" w:hAnsiTheme="majorBidi" w:cstheme="majorBidi"/>
          <w:b/>
          <w:bCs/>
          <w:lang w:val="en-US" w:eastAsia="en-US"/>
        </w:rPr>
        <w:br w:type="page"/>
      </w:r>
    </w:p>
    <w:p w:rsidR="00BC6075" w:rsidRPr="00EB4D7C" w:rsidRDefault="009B2906" w:rsidP="00BC6075">
      <w:pPr>
        <w:widowControl w:val="0"/>
        <w:autoSpaceDE w:val="0"/>
        <w:autoSpaceDN w:val="0"/>
        <w:adjustRightInd w:val="0"/>
        <w:spacing w:line="360" w:lineRule="auto"/>
        <w:rPr>
          <w:rFonts w:asciiTheme="majorBidi" w:hAnsiTheme="majorBidi" w:cstheme="majorBidi"/>
          <w:lang w:val="en-US"/>
        </w:rPr>
      </w:pPr>
      <w:bookmarkStart w:id="0" w:name="OLE_LINK11"/>
      <w:bookmarkStart w:id="1" w:name="OLE_LINK12"/>
      <w:r>
        <w:rPr>
          <w:rFonts w:asciiTheme="majorBidi" w:hAnsiTheme="majorBidi" w:cstheme="majorBidi"/>
          <w:lang w:val="en-GB"/>
        </w:rPr>
        <w:lastRenderedPageBreak/>
        <w:t>Table</w:t>
      </w:r>
      <w:r w:rsidR="00BC6075">
        <w:rPr>
          <w:rFonts w:asciiTheme="majorBidi" w:hAnsiTheme="majorBidi" w:cstheme="majorBidi"/>
          <w:lang w:val="en-GB"/>
        </w:rPr>
        <w:t xml:space="preserve"> </w:t>
      </w:r>
      <w:bookmarkEnd w:id="0"/>
      <w:bookmarkEnd w:id="1"/>
      <w:r>
        <w:rPr>
          <w:rFonts w:asciiTheme="majorBidi" w:hAnsiTheme="majorBidi" w:cstheme="majorBidi"/>
          <w:lang w:val="en-GB"/>
        </w:rPr>
        <w:t>S</w:t>
      </w:r>
      <w:r w:rsidR="00BC6075" w:rsidRPr="00EB4D7C">
        <w:rPr>
          <w:rFonts w:asciiTheme="majorBidi" w:hAnsiTheme="majorBidi" w:cstheme="majorBidi"/>
          <w:lang w:val="en-US"/>
        </w:rPr>
        <w:t>2</w:t>
      </w:r>
      <w:r w:rsidR="00BC6075">
        <w:rPr>
          <w:rFonts w:asciiTheme="majorBidi" w:hAnsiTheme="majorBidi" w:cstheme="majorBidi"/>
          <w:lang w:val="en-US"/>
        </w:rPr>
        <w:t>-</w:t>
      </w:r>
      <w:r w:rsidR="00BC6075" w:rsidRPr="00EB4D7C">
        <w:rPr>
          <w:rFonts w:asciiTheme="majorBidi" w:hAnsiTheme="majorBidi" w:cstheme="majorBidi"/>
          <w:lang w:val="en-US"/>
        </w:rPr>
        <w:t xml:space="preserve"> Above-ground plant and seed bank density, and estimates of genetic parameters based on 17 microsatellite markers in Icelandic, Norwegian and Swedish populations of </w:t>
      </w:r>
      <w:r w:rsidR="00BC6075" w:rsidRPr="00EB4D7C">
        <w:rPr>
          <w:rFonts w:asciiTheme="majorBidi" w:hAnsiTheme="majorBidi" w:cstheme="majorBidi"/>
          <w:i/>
          <w:iCs/>
          <w:lang w:val="en-US"/>
        </w:rPr>
        <w:t xml:space="preserve">Arabidopsis </w:t>
      </w:r>
      <w:proofErr w:type="spellStart"/>
      <w:r w:rsidR="00BC6075" w:rsidRPr="00EB4D7C">
        <w:rPr>
          <w:rFonts w:asciiTheme="majorBidi" w:hAnsiTheme="majorBidi" w:cstheme="majorBidi"/>
          <w:i/>
          <w:iCs/>
          <w:lang w:val="en-US"/>
        </w:rPr>
        <w:t>lyrata</w:t>
      </w:r>
      <w:proofErr w:type="spellEnd"/>
      <w:r w:rsidR="00BC6075" w:rsidRPr="00EB4D7C">
        <w:rPr>
          <w:rFonts w:asciiTheme="majorBidi" w:hAnsiTheme="majorBidi" w:cstheme="majorBidi"/>
          <w:lang w:val="en-US"/>
        </w:rPr>
        <w:t>.</w:t>
      </w:r>
      <w:r w:rsidR="00BC6075" w:rsidRPr="00EB4D7C">
        <w:rPr>
          <w:rFonts w:asciiTheme="majorBidi" w:hAnsiTheme="majorBidi" w:cstheme="majorBidi"/>
          <w:i/>
          <w:iCs/>
          <w:lang w:val="en-GB"/>
        </w:rPr>
        <w:t xml:space="preserve"> H</w:t>
      </w:r>
      <w:r w:rsidR="00BC6075" w:rsidRPr="00EB4D7C">
        <w:rPr>
          <w:rFonts w:asciiTheme="majorBidi" w:hAnsiTheme="majorBidi" w:cstheme="majorBidi"/>
          <w:vertAlign w:val="subscript"/>
          <w:lang w:val="en-GB"/>
        </w:rPr>
        <w:t>E</w:t>
      </w:r>
      <w:r w:rsidR="00BC6075" w:rsidRPr="00EB4D7C">
        <w:rPr>
          <w:rFonts w:asciiTheme="majorBidi" w:hAnsiTheme="majorBidi" w:cstheme="majorBidi"/>
          <w:lang w:val="en-GB"/>
        </w:rPr>
        <w:t xml:space="preserve">, </w:t>
      </w:r>
      <w:r w:rsidR="00BC6075" w:rsidRPr="00EB4D7C">
        <w:rPr>
          <w:rFonts w:asciiTheme="majorBidi" w:hAnsiTheme="majorBidi" w:cstheme="majorBidi"/>
          <w:i/>
          <w:iCs/>
          <w:lang w:val="en-GB"/>
        </w:rPr>
        <w:t>F</w:t>
      </w:r>
      <w:r w:rsidR="00BC6075" w:rsidRPr="00EB4D7C">
        <w:rPr>
          <w:rFonts w:asciiTheme="majorBidi" w:hAnsiTheme="majorBidi" w:cstheme="majorBidi"/>
          <w:vertAlign w:val="subscript"/>
          <w:lang w:val="en-GB"/>
        </w:rPr>
        <w:t>IS</w:t>
      </w:r>
      <w:r w:rsidR="00BC6075" w:rsidRPr="00EB4D7C">
        <w:rPr>
          <w:rFonts w:asciiTheme="majorBidi" w:hAnsiTheme="majorBidi" w:cstheme="majorBidi"/>
          <w:i/>
          <w:iCs/>
          <w:lang w:val="en-GB"/>
        </w:rPr>
        <w:t>, R</w:t>
      </w:r>
      <w:r w:rsidR="00BC6075" w:rsidRPr="00EB4D7C">
        <w:rPr>
          <w:rFonts w:asciiTheme="majorBidi" w:hAnsiTheme="majorBidi" w:cstheme="majorBidi"/>
          <w:vertAlign w:val="subscript"/>
          <w:lang w:val="en-GB"/>
        </w:rPr>
        <w:t>S</w:t>
      </w:r>
      <w:r w:rsidR="00BC6075" w:rsidRPr="00EB4D7C">
        <w:rPr>
          <w:rFonts w:asciiTheme="majorBidi" w:hAnsiTheme="majorBidi" w:cstheme="majorBidi"/>
          <w:lang w:val="en-GB"/>
        </w:rPr>
        <w:t>,</w:t>
      </w:r>
      <w:r w:rsidR="00BC6075" w:rsidRPr="00EB4D7C">
        <w:rPr>
          <w:rFonts w:asciiTheme="majorBidi" w:hAnsiTheme="majorBidi" w:cstheme="majorBidi"/>
          <w:i/>
          <w:iCs/>
          <w:lang w:val="en-GB"/>
        </w:rPr>
        <w:t xml:space="preserve"> R</w:t>
      </w:r>
      <w:r w:rsidR="00BC6075" w:rsidRPr="00EB4D7C">
        <w:rPr>
          <w:rFonts w:asciiTheme="majorBidi" w:hAnsiTheme="majorBidi" w:cstheme="majorBidi"/>
          <w:vertAlign w:val="subscript"/>
          <w:lang w:val="en-GB"/>
        </w:rPr>
        <w:t>P</w:t>
      </w:r>
      <w:r w:rsidR="00BC6075" w:rsidRPr="00EB4D7C">
        <w:rPr>
          <w:rFonts w:asciiTheme="majorBidi" w:hAnsiTheme="majorBidi" w:cstheme="majorBidi"/>
          <w:i/>
          <w:iCs/>
          <w:lang w:val="en-GB"/>
        </w:rPr>
        <w:t>, md</w:t>
      </w:r>
      <w:r w:rsidR="00BC6075" w:rsidRPr="00EB4D7C">
        <w:rPr>
          <w:rFonts w:asciiTheme="majorBidi" w:hAnsiTheme="majorBidi" w:cstheme="majorBidi"/>
          <w:i/>
          <w:iCs/>
          <w:vertAlign w:val="superscript"/>
          <w:lang w:val="en-GB"/>
        </w:rPr>
        <w:t xml:space="preserve">2 </w:t>
      </w:r>
      <w:r w:rsidR="00BC6075" w:rsidRPr="00EB4D7C">
        <w:rPr>
          <w:rFonts w:asciiTheme="majorBidi" w:hAnsiTheme="majorBidi" w:cstheme="majorBidi"/>
          <w:lang w:val="en-GB"/>
        </w:rPr>
        <w:t>and</w:t>
      </w:r>
      <w:r w:rsidR="00BC6075" w:rsidRPr="00EB4D7C">
        <w:rPr>
          <w:rFonts w:asciiTheme="majorBidi" w:hAnsiTheme="majorBidi" w:cstheme="majorBidi"/>
          <w:i/>
          <w:iCs/>
          <w:lang w:val="en-GB"/>
        </w:rPr>
        <w:t xml:space="preserve"> </w:t>
      </w:r>
      <w:r w:rsidR="00BC6075" w:rsidRPr="00EB4D7C">
        <w:rPr>
          <w:rFonts w:asciiTheme="majorBidi" w:hAnsiTheme="majorBidi" w:cstheme="majorBidi"/>
          <w:i/>
          <w:iCs/>
        </w:rPr>
        <w:t>θ</w:t>
      </w:r>
      <w:r w:rsidR="00BC6075" w:rsidRPr="00EB4D7C">
        <w:rPr>
          <w:rFonts w:asciiTheme="majorBidi" w:hAnsiTheme="majorBidi" w:cstheme="majorBidi"/>
          <w:lang w:val="en-GB"/>
        </w:rPr>
        <w:t xml:space="preserve"> represent genetic diversity, inbreeding coefficient, allelic richness, private allelic richness and mutation-scaled effective population size, respectively.</w:t>
      </w:r>
      <w:r w:rsidR="00BC6075" w:rsidRPr="00EB4D7C">
        <w:rPr>
          <w:rFonts w:asciiTheme="majorBidi" w:hAnsiTheme="majorBidi" w:cstheme="majorBidi"/>
          <w:i/>
          <w:iCs/>
          <w:lang w:val="en-GB"/>
        </w:rPr>
        <w:t xml:space="preserve"> </w:t>
      </w:r>
      <w:r w:rsidR="00BC6075">
        <w:rPr>
          <w:rFonts w:asciiTheme="majorBidi" w:hAnsiTheme="majorBidi" w:cstheme="majorBidi"/>
          <w:lang w:val="en-GB"/>
        </w:rPr>
        <w:t xml:space="preserve">None of </w:t>
      </w:r>
      <w:r w:rsidR="00BC6075" w:rsidRPr="00EB4D7C">
        <w:rPr>
          <w:rFonts w:asciiTheme="majorBidi" w:hAnsiTheme="majorBidi" w:cstheme="majorBidi"/>
          <w:i/>
          <w:iCs/>
          <w:lang w:val="en-GB"/>
        </w:rPr>
        <w:t>F</w:t>
      </w:r>
      <w:r w:rsidR="00BC6075" w:rsidRPr="00EB4D7C">
        <w:rPr>
          <w:rFonts w:asciiTheme="majorBidi" w:hAnsiTheme="majorBidi" w:cstheme="majorBidi"/>
          <w:vertAlign w:val="subscript"/>
          <w:lang w:val="en-GB"/>
        </w:rPr>
        <w:t>IS</w:t>
      </w:r>
      <w:r w:rsidR="00BC6075">
        <w:rPr>
          <w:rFonts w:asciiTheme="majorBidi" w:hAnsiTheme="majorBidi" w:cstheme="majorBidi"/>
          <w:lang w:val="en-GB"/>
        </w:rPr>
        <w:t xml:space="preserve"> values were significantly different from zero</w:t>
      </w:r>
      <w:r w:rsidR="00BC6075" w:rsidRPr="00EB4D7C">
        <w:rPr>
          <w:rFonts w:asciiTheme="majorBidi" w:hAnsiTheme="majorBidi" w:cstheme="majorBidi"/>
          <w:lang w:val="en-GB"/>
        </w:rPr>
        <w:t>.</w:t>
      </w:r>
    </w:p>
    <w:tbl>
      <w:tblPr>
        <w:tblW w:w="7799" w:type="dxa"/>
        <w:jc w:val="center"/>
        <w:tblInd w:w="572" w:type="dxa"/>
        <w:tblLayout w:type="fixed"/>
        <w:tblCellMar>
          <w:left w:w="0" w:type="dxa"/>
          <w:right w:w="0" w:type="dxa"/>
        </w:tblCellMar>
        <w:tblLook w:val="0000" w:firstRow="0" w:lastRow="0" w:firstColumn="0" w:lastColumn="0" w:noHBand="0" w:noVBand="0"/>
      </w:tblPr>
      <w:tblGrid>
        <w:gridCol w:w="750"/>
        <w:gridCol w:w="789"/>
        <w:gridCol w:w="789"/>
        <w:gridCol w:w="789"/>
        <w:gridCol w:w="789"/>
        <w:gridCol w:w="1058"/>
        <w:gridCol w:w="709"/>
        <w:gridCol w:w="1134"/>
        <w:gridCol w:w="992"/>
      </w:tblGrid>
      <w:tr w:rsidR="00BC6075" w:rsidRPr="005800E9" w:rsidTr="006B083F">
        <w:trPr>
          <w:cantSplit/>
          <w:trHeight w:val="367"/>
          <w:jc w:val="center"/>
        </w:trPr>
        <w:tc>
          <w:tcPr>
            <w:tcW w:w="750" w:type="dxa"/>
            <w:tcBorders>
              <w:top w:val="double" w:sz="4" w:space="0" w:color="auto"/>
              <w:left w:val="nil"/>
              <w:bottom w:val="single" w:sz="8" w:space="0" w:color="auto"/>
              <w:right w:val="nil"/>
            </w:tcBorders>
            <w:noWrap/>
            <w:vAlign w:val="center"/>
          </w:tcPr>
          <w:p w:rsidR="00BC6075" w:rsidRPr="005800E9" w:rsidRDefault="00BC6075" w:rsidP="006B083F">
            <w:pPr>
              <w:rPr>
                <w:rFonts w:asciiTheme="majorBidi" w:hAnsiTheme="majorBidi" w:cstheme="majorBidi"/>
                <w:sz w:val="20"/>
                <w:szCs w:val="20"/>
                <w:lang w:val="en-GB"/>
              </w:rPr>
            </w:pPr>
            <w:r w:rsidRPr="005800E9">
              <w:rPr>
                <w:rFonts w:asciiTheme="majorBidi" w:hAnsiTheme="majorBidi" w:cstheme="majorBidi"/>
                <w:sz w:val="20"/>
                <w:szCs w:val="20"/>
                <w:lang w:val="en-GB"/>
              </w:rPr>
              <w:t>Iceland</w:t>
            </w:r>
          </w:p>
        </w:tc>
        <w:tc>
          <w:tcPr>
            <w:tcW w:w="789" w:type="dxa"/>
            <w:tcBorders>
              <w:top w:val="double" w:sz="4" w:space="0" w:color="auto"/>
              <w:left w:val="nil"/>
              <w:bottom w:val="single" w:sz="8" w:space="0" w:color="auto"/>
              <w:right w:val="nil"/>
            </w:tcBorders>
            <w:noWrap/>
            <w:vAlign w:val="center"/>
          </w:tcPr>
          <w:p w:rsidR="00BC6075" w:rsidRPr="005800E9" w:rsidRDefault="00BC6075" w:rsidP="006B083F">
            <w:pPr>
              <w:jc w:val="center"/>
              <w:rPr>
                <w:rFonts w:asciiTheme="majorBidi" w:hAnsiTheme="majorBidi" w:cstheme="majorBidi"/>
                <w:sz w:val="20"/>
                <w:szCs w:val="20"/>
                <w:lang w:val="en-GB"/>
              </w:rPr>
            </w:pPr>
            <w:r w:rsidRPr="005800E9">
              <w:rPr>
                <w:rFonts w:asciiTheme="majorBidi" w:hAnsiTheme="majorBidi" w:cstheme="majorBidi"/>
                <w:i/>
                <w:iCs/>
                <w:sz w:val="20"/>
                <w:szCs w:val="20"/>
                <w:lang w:val="en-GB"/>
              </w:rPr>
              <w:t>H</w:t>
            </w:r>
            <w:r w:rsidRPr="005800E9">
              <w:rPr>
                <w:rFonts w:asciiTheme="majorBidi" w:hAnsiTheme="majorBidi" w:cstheme="majorBidi"/>
                <w:sz w:val="20"/>
                <w:szCs w:val="20"/>
                <w:vertAlign w:val="subscript"/>
                <w:lang w:val="en-GB"/>
              </w:rPr>
              <w:t>E</w:t>
            </w:r>
          </w:p>
        </w:tc>
        <w:tc>
          <w:tcPr>
            <w:tcW w:w="789" w:type="dxa"/>
            <w:tcBorders>
              <w:top w:val="double" w:sz="4" w:space="0" w:color="auto"/>
              <w:left w:val="nil"/>
              <w:bottom w:val="single" w:sz="8" w:space="0" w:color="auto"/>
              <w:right w:val="nil"/>
            </w:tcBorders>
            <w:vAlign w:val="center"/>
          </w:tcPr>
          <w:p w:rsidR="00BC6075" w:rsidRPr="005800E9" w:rsidRDefault="00BC6075" w:rsidP="006B083F">
            <w:pPr>
              <w:jc w:val="center"/>
              <w:rPr>
                <w:rFonts w:asciiTheme="majorBidi" w:hAnsiTheme="majorBidi" w:cstheme="majorBidi"/>
                <w:i/>
                <w:iCs/>
                <w:sz w:val="20"/>
                <w:szCs w:val="20"/>
                <w:lang w:val="en-GB"/>
              </w:rPr>
            </w:pPr>
            <w:r w:rsidRPr="005800E9">
              <w:rPr>
                <w:rFonts w:asciiTheme="majorBidi" w:hAnsiTheme="majorBidi" w:cstheme="majorBidi"/>
                <w:i/>
                <w:iCs/>
                <w:sz w:val="20"/>
                <w:szCs w:val="20"/>
              </w:rPr>
              <w:t>F</w:t>
            </w:r>
            <w:r w:rsidRPr="005800E9">
              <w:rPr>
                <w:rFonts w:asciiTheme="majorBidi" w:hAnsiTheme="majorBidi" w:cstheme="majorBidi"/>
                <w:sz w:val="20"/>
                <w:szCs w:val="20"/>
                <w:vertAlign w:val="subscript"/>
              </w:rPr>
              <w:t>IS</w:t>
            </w:r>
          </w:p>
        </w:tc>
        <w:tc>
          <w:tcPr>
            <w:tcW w:w="789" w:type="dxa"/>
            <w:tcBorders>
              <w:top w:val="double" w:sz="4" w:space="0" w:color="auto"/>
              <w:left w:val="nil"/>
              <w:bottom w:val="single" w:sz="8" w:space="0" w:color="auto"/>
              <w:right w:val="nil"/>
            </w:tcBorders>
            <w:vAlign w:val="center"/>
          </w:tcPr>
          <w:p w:rsidR="00BC6075" w:rsidRPr="005800E9" w:rsidRDefault="00BC6075" w:rsidP="006B083F">
            <w:pPr>
              <w:jc w:val="center"/>
              <w:rPr>
                <w:rFonts w:asciiTheme="majorBidi" w:hAnsiTheme="majorBidi" w:cstheme="majorBidi"/>
                <w:sz w:val="20"/>
                <w:szCs w:val="20"/>
                <w:lang w:val="en-GB"/>
              </w:rPr>
            </w:pPr>
            <w:r w:rsidRPr="005800E9">
              <w:rPr>
                <w:rFonts w:asciiTheme="majorBidi" w:hAnsiTheme="majorBidi" w:cstheme="majorBidi"/>
                <w:i/>
                <w:iCs/>
                <w:sz w:val="20"/>
                <w:szCs w:val="20"/>
                <w:lang w:val="en-GB"/>
              </w:rPr>
              <w:t>R</w:t>
            </w:r>
            <w:r w:rsidRPr="005800E9">
              <w:rPr>
                <w:rFonts w:asciiTheme="majorBidi" w:hAnsiTheme="majorBidi" w:cstheme="majorBidi"/>
                <w:sz w:val="20"/>
                <w:szCs w:val="20"/>
                <w:vertAlign w:val="subscript"/>
                <w:lang w:val="en-GB"/>
              </w:rPr>
              <w:t>S</w:t>
            </w:r>
          </w:p>
        </w:tc>
        <w:tc>
          <w:tcPr>
            <w:tcW w:w="789" w:type="dxa"/>
            <w:tcBorders>
              <w:top w:val="double" w:sz="4" w:space="0" w:color="auto"/>
              <w:left w:val="nil"/>
              <w:bottom w:val="single" w:sz="8" w:space="0" w:color="auto"/>
              <w:right w:val="nil"/>
            </w:tcBorders>
            <w:vAlign w:val="center"/>
          </w:tcPr>
          <w:p w:rsidR="00BC6075" w:rsidRPr="005800E9" w:rsidRDefault="00BC6075" w:rsidP="006B083F">
            <w:pPr>
              <w:jc w:val="center"/>
              <w:rPr>
                <w:rFonts w:asciiTheme="majorBidi" w:hAnsiTheme="majorBidi" w:cstheme="majorBidi"/>
                <w:sz w:val="20"/>
                <w:szCs w:val="20"/>
                <w:lang w:val="en-GB"/>
              </w:rPr>
            </w:pPr>
            <w:r w:rsidRPr="005800E9">
              <w:rPr>
                <w:rFonts w:asciiTheme="majorBidi" w:hAnsiTheme="majorBidi" w:cstheme="majorBidi"/>
                <w:i/>
                <w:iCs/>
                <w:sz w:val="20"/>
                <w:szCs w:val="20"/>
                <w:lang w:val="en-GB"/>
              </w:rPr>
              <w:t>R</w:t>
            </w:r>
            <w:r w:rsidRPr="005800E9">
              <w:rPr>
                <w:rFonts w:asciiTheme="majorBidi" w:hAnsiTheme="majorBidi" w:cstheme="majorBidi"/>
                <w:sz w:val="20"/>
                <w:szCs w:val="20"/>
                <w:vertAlign w:val="subscript"/>
                <w:lang w:val="en-GB"/>
              </w:rPr>
              <w:t>P</w:t>
            </w:r>
          </w:p>
        </w:tc>
        <w:tc>
          <w:tcPr>
            <w:tcW w:w="1058" w:type="dxa"/>
            <w:tcBorders>
              <w:top w:val="double" w:sz="4" w:space="0" w:color="auto"/>
              <w:left w:val="nil"/>
              <w:bottom w:val="single" w:sz="8" w:space="0" w:color="auto"/>
              <w:right w:val="nil"/>
            </w:tcBorders>
            <w:vAlign w:val="center"/>
          </w:tcPr>
          <w:p w:rsidR="00BC6075" w:rsidRPr="005800E9" w:rsidRDefault="00BC6075" w:rsidP="006B083F">
            <w:pPr>
              <w:jc w:val="center"/>
              <w:rPr>
                <w:rFonts w:asciiTheme="majorBidi" w:hAnsiTheme="majorBidi" w:cstheme="majorBidi"/>
                <w:i/>
                <w:iCs/>
                <w:sz w:val="20"/>
                <w:szCs w:val="20"/>
              </w:rPr>
            </w:pPr>
            <w:bookmarkStart w:id="2" w:name="OLE_LINK66"/>
            <w:bookmarkStart w:id="3" w:name="OLE_LINK67"/>
            <w:r w:rsidRPr="005800E9">
              <w:rPr>
                <w:rFonts w:asciiTheme="majorBidi" w:hAnsiTheme="majorBidi" w:cstheme="majorBidi"/>
                <w:i/>
                <w:iCs/>
                <w:sz w:val="20"/>
                <w:szCs w:val="20"/>
              </w:rPr>
              <w:t>md</w:t>
            </w:r>
            <w:r w:rsidRPr="005800E9">
              <w:rPr>
                <w:rFonts w:asciiTheme="majorBidi" w:hAnsiTheme="majorBidi" w:cstheme="majorBidi"/>
                <w:i/>
                <w:iCs/>
                <w:sz w:val="20"/>
                <w:szCs w:val="20"/>
                <w:vertAlign w:val="superscript"/>
              </w:rPr>
              <w:t>2</w:t>
            </w:r>
            <w:bookmarkEnd w:id="2"/>
            <w:bookmarkEnd w:id="3"/>
          </w:p>
        </w:tc>
        <w:tc>
          <w:tcPr>
            <w:tcW w:w="709" w:type="dxa"/>
            <w:tcBorders>
              <w:top w:val="double" w:sz="4" w:space="0" w:color="auto"/>
              <w:left w:val="nil"/>
              <w:bottom w:val="single" w:sz="8" w:space="0" w:color="auto"/>
              <w:right w:val="nil"/>
            </w:tcBorders>
            <w:noWrap/>
            <w:vAlign w:val="center"/>
          </w:tcPr>
          <w:p w:rsidR="00BC6075" w:rsidRPr="005800E9" w:rsidRDefault="00BC6075" w:rsidP="006B083F">
            <w:pPr>
              <w:jc w:val="center"/>
              <w:rPr>
                <w:rFonts w:asciiTheme="majorBidi" w:hAnsiTheme="majorBidi" w:cstheme="majorBidi"/>
                <w:sz w:val="20"/>
                <w:szCs w:val="20"/>
                <w:lang w:val="en-GB"/>
              </w:rPr>
            </w:pPr>
            <w:r w:rsidRPr="005800E9">
              <w:rPr>
                <w:rFonts w:asciiTheme="majorBidi" w:hAnsiTheme="majorBidi" w:cstheme="majorBidi"/>
                <w:i/>
                <w:iCs/>
                <w:sz w:val="20"/>
                <w:szCs w:val="20"/>
              </w:rPr>
              <w:t>θ</w:t>
            </w:r>
          </w:p>
        </w:tc>
        <w:tc>
          <w:tcPr>
            <w:tcW w:w="1134" w:type="dxa"/>
            <w:tcBorders>
              <w:top w:val="double" w:sz="4" w:space="0" w:color="auto"/>
              <w:left w:val="nil"/>
              <w:bottom w:val="single" w:sz="8" w:space="0" w:color="auto"/>
              <w:right w:val="nil"/>
            </w:tcBorders>
            <w:noWrap/>
            <w:vAlign w:val="center"/>
          </w:tcPr>
          <w:p w:rsidR="00BC6075" w:rsidRPr="005800E9" w:rsidRDefault="00BC6075" w:rsidP="006B083F">
            <w:pPr>
              <w:jc w:val="center"/>
              <w:rPr>
                <w:rFonts w:asciiTheme="majorBidi" w:hAnsiTheme="majorBidi" w:cstheme="majorBidi"/>
                <w:sz w:val="20"/>
                <w:szCs w:val="20"/>
                <w:lang w:val="en-GB"/>
              </w:rPr>
            </w:pPr>
            <w:r w:rsidRPr="005800E9">
              <w:rPr>
                <w:rFonts w:asciiTheme="majorBidi" w:hAnsiTheme="majorBidi" w:cstheme="majorBidi"/>
                <w:sz w:val="20"/>
                <w:szCs w:val="20"/>
                <w:lang w:val="en-GB"/>
              </w:rPr>
              <w:t>Plant density (m</w:t>
            </w:r>
            <w:r w:rsidRPr="005800E9">
              <w:rPr>
                <w:rFonts w:asciiTheme="majorBidi" w:hAnsiTheme="majorBidi" w:cstheme="majorBidi"/>
                <w:sz w:val="20"/>
                <w:szCs w:val="20"/>
                <w:vertAlign w:val="superscript"/>
                <w:lang w:val="en-GB"/>
              </w:rPr>
              <w:t>-2</w:t>
            </w:r>
            <w:r w:rsidRPr="005800E9">
              <w:rPr>
                <w:rFonts w:asciiTheme="majorBidi" w:hAnsiTheme="majorBidi" w:cstheme="majorBidi"/>
                <w:sz w:val="20"/>
                <w:szCs w:val="20"/>
                <w:lang w:val="en-GB"/>
              </w:rPr>
              <w:t>)</w:t>
            </w:r>
          </w:p>
        </w:tc>
        <w:tc>
          <w:tcPr>
            <w:tcW w:w="992" w:type="dxa"/>
            <w:tcBorders>
              <w:top w:val="double" w:sz="4" w:space="0" w:color="auto"/>
              <w:left w:val="nil"/>
              <w:bottom w:val="single" w:sz="8" w:space="0" w:color="auto"/>
              <w:right w:val="nil"/>
            </w:tcBorders>
            <w:noWrap/>
            <w:vAlign w:val="center"/>
          </w:tcPr>
          <w:p w:rsidR="00BC6075" w:rsidRPr="005800E9" w:rsidRDefault="00BC6075" w:rsidP="006B083F">
            <w:pPr>
              <w:jc w:val="center"/>
              <w:rPr>
                <w:rFonts w:asciiTheme="majorBidi" w:hAnsiTheme="majorBidi" w:cstheme="majorBidi"/>
                <w:sz w:val="20"/>
                <w:szCs w:val="20"/>
                <w:lang w:val="en-GB"/>
              </w:rPr>
            </w:pPr>
            <w:r w:rsidRPr="005800E9">
              <w:rPr>
                <w:rFonts w:asciiTheme="majorBidi" w:hAnsiTheme="majorBidi" w:cstheme="majorBidi"/>
                <w:sz w:val="20"/>
                <w:szCs w:val="20"/>
                <w:lang w:val="en-GB"/>
              </w:rPr>
              <w:t>Seed bank (m</w:t>
            </w:r>
            <w:r w:rsidRPr="005800E9">
              <w:rPr>
                <w:rFonts w:asciiTheme="majorBidi" w:hAnsiTheme="majorBidi" w:cstheme="majorBidi"/>
                <w:sz w:val="20"/>
                <w:szCs w:val="20"/>
                <w:vertAlign w:val="superscript"/>
                <w:lang w:val="en-GB"/>
              </w:rPr>
              <w:t>-2</w:t>
            </w:r>
            <w:r w:rsidRPr="005800E9">
              <w:rPr>
                <w:rFonts w:asciiTheme="majorBidi" w:hAnsiTheme="majorBidi" w:cstheme="majorBidi"/>
                <w:sz w:val="20"/>
                <w:szCs w:val="20"/>
                <w:lang w:val="en-GB"/>
              </w:rPr>
              <w:t>)</w:t>
            </w:r>
          </w:p>
        </w:tc>
      </w:tr>
      <w:tr w:rsidR="00BC6075" w:rsidRPr="005800E9" w:rsidTr="006B083F">
        <w:trPr>
          <w:cantSplit/>
          <w:trHeight w:val="170"/>
          <w:jc w:val="center"/>
        </w:trPr>
        <w:tc>
          <w:tcPr>
            <w:tcW w:w="750" w:type="dxa"/>
            <w:tcBorders>
              <w:top w:val="single" w:sz="8" w:space="0" w:color="auto"/>
              <w:left w:val="nil"/>
              <w:bottom w:val="nil"/>
              <w:right w:val="nil"/>
            </w:tcBorders>
            <w:noWrap/>
            <w:vAlign w:val="bottom"/>
          </w:tcPr>
          <w:p w:rsidR="00BC6075" w:rsidRPr="005800E9" w:rsidRDefault="00BC6075" w:rsidP="006B083F">
            <w:pPr>
              <w:rPr>
                <w:rFonts w:asciiTheme="majorBidi" w:hAnsiTheme="majorBidi" w:cstheme="majorBidi"/>
                <w:sz w:val="20"/>
                <w:szCs w:val="20"/>
                <w:lang w:val="en-GB"/>
              </w:rPr>
            </w:pPr>
            <w:r w:rsidRPr="005800E9">
              <w:rPr>
                <w:rFonts w:asciiTheme="majorBidi" w:hAnsiTheme="majorBidi" w:cstheme="majorBidi"/>
                <w:sz w:val="20"/>
                <w:szCs w:val="20"/>
              </w:rPr>
              <w:t>Pop_2</w:t>
            </w:r>
          </w:p>
        </w:tc>
        <w:tc>
          <w:tcPr>
            <w:tcW w:w="789" w:type="dxa"/>
            <w:tcBorders>
              <w:top w:val="single" w:sz="8" w:space="0" w:color="auto"/>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lang w:val="en-GB"/>
              </w:rPr>
            </w:pPr>
            <w:proofErr w:type="gramStart"/>
            <w:r w:rsidRPr="005800E9">
              <w:rPr>
                <w:rFonts w:asciiTheme="majorBidi" w:hAnsiTheme="majorBidi" w:cstheme="majorBidi"/>
                <w:sz w:val="20"/>
                <w:szCs w:val="20"/>
              </w:rPr>
              <w:t>0.35</w:t>
            </w:r>
            <w:proofErr w:type="gramEnd"/>
          </w:p>
        </w:tc>
        <w:tc>
          <w:tcPr>
            <w:tcW w:w="789" w:type="dxa"/>
            <w:tcBorders>
              <w:top w:val="single" w:sz="8" w:space="0" w:color="auto"/>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w:t>
            </w:r>
            <w:proofErr w:type="gramStart"/>
            <w:r w:rsidRPr="005800E9">
              <w:rPr>
                <w:rFonts w:asciiTheme="majorBidi" w:hAnsiTheme="majorBidi" w:cstheme="majorBidi"/>
                <w:sz w:val="20"/>
                <w:szCs w:val="20"/>
              </w:rPr>
              <w:t>0.01</w:t>
            </w:r>
            <w:proofErr w:type="gramEnd"/>
          </w:p>
        </w:tc>
        <w:tc>
          <w:tcPr>
            <w:tcW w:w="789" w:type="dxa"/>
            <w:tcBorders>
              <w:top w:val="single" w:sz="8" w:space="0" w:color="auto"/>
              <w:left w:val="nil"/>
              <w:bottom w:val="nil"/>
              <w:right w:val="nil"/>
            </w:tcBorders>
            <w:vAlign w:val="bottom"/>
          </w:tcPr>
          <w:p w:rsidR="00BC6075" w:rsidRPr="005800E9" w:rsidRDefault="00BC6075" w:rsidP="006B083F">
            <w:pPr>
              <w:jc w:val="center"/>
              <w:rPr>
                <w:rFonts w:asciiTheme="majorBidi" w:hAnsiTheme="majorBidi" w:cstheme="majorBidi"/>
                <w:sz w:val="20"/>
                <w:szCs w:val="20"/>
                <w:lang w:val="en-GB"/>
              </w:rPr>
            </w:pPr>
            <w:r w:rsidRPr="005800E9">
              <w:rPr>
                <w:rFonts w:asciiTheme="majorBidi" w:hAnsiTheme="majorBidi" w:cstheme="majorBidi"/>
                <w:sz w:val="20"/>
                <w:szCs w:val="20"/>
              </w:rPr>
              <w:t>2.28</w:t>
            </w:r>
          </w:p>
        </w:tc>
        <w:tc>
          <w:tcPr>
            <w:tcW w:w="789" w:type="dxa"/>
            <w:tcBorders>
              <w:top w:val="single" w:sz="8" w:space="0" w:color="auto"/>
              <w:left w:val="nil"/>
              <w:bottom w:val="nil"/>
              <w:right w:val="nil"/>
            </w:tcBorders>
            <w:vAlign w:val="bottom"/>
          </w:tcPr>
          <w:p w:rsidR="00BC6075" w:rsidRPr="005800E9" w:rsidRDefault="00BC6075" w:rsidP="006B083F">
            <w:pPr>
              <w:jc w:val="center"/>
              <w:rPr>
                <w:rFonts w:asciiTheme="majorBidi" w:hAnsiTheme="majorBidi" w:cstheme="majorBidi"/>
                <w:sz w:val="20"/>
                <w:szCs w:val="20"/>
                <w:lang w:val="en-GB"/>
              </w:rPr>
            </w:pPr>
            <w:proofErr w:type="gramStart"/>
            <w:r w:rsidRPr="005800E9">
              <w:rPr>
                <w:rFonts w:asciiTheme="majorBidi" w:hAnsiTheme="majorBidi" w:cstheme="majorBidi"/>
                <w:sz w:val="20"/>
                <w:szCs w:val="20"/>
              </w:rPr>
              <w:t>0.14</w:t>
            </w:r>
            <w:proofErr w:type="gramEnd"/>
          </w:p>
        </w:tc>
        <w:tc>
          <w:tcPr>
            <w:tcW w:w="1058" w:type="dxa"/>
            <w:tcBorders>
              <w:top w:val="single" w:sz="8" w:space="0" w:color="auto"/>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23.74</w:t>
            </w:r>
          </w:p>
        </w:tc>
        <w:tc>
          <w:tcPr>
            <w:tcW w:w="709" w:type="dxa"/>
            <w:tcBorders>
              <w:top w:val="single" w:sz="8" w:space="0" w:color="auto"/>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lang w:val="en-GB"/>
              </w:rPr>
            </w:pPr>
            <w:proofErr w:type="gramStart"/>
            <w:r w:rsidRPr="005800E9">
              <w:rPr>
                <w:rFonts w:asciiTheme="majorBidi" w:hAnsiTheme="majorBidi" w:cstheme="majorBidi"/>
                <w:sz w:val="20"/>
                <w:szCs w:val="20"/>
              </w:rPr>
              <w:t>0.41</w:t>
            </w:r>
            <w:proofErr w:type="gramEnd"/>
          </w:p>
        </w:tc>
        <w:tc>
          <w:tcPr>
            <w:tcW w:w="1134" w:type="dxa"/>
            <w:tcBorders>
              <w:top w:val="single" w:sz="8" w:space="0" w:color="auto"/>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lang w:val="en-GB"/>
              </w:rPr>
            </w:pPr>
            <w:proofErr w:type="gramStart"/>
            <w:r w:rsidRPr="005800E9">
              <w:rPr>
                <w:rFonts w:asciiTheme="majorBidi" w:hAnsiTheme="majorBidi" w:cstheme="majorBidi"/>
                <w:sz w:val="20"/>
                <w:szCs w:val="20"/>
              </w:rPr>
              <w:t>0.12</w:t>
            </w:r>
            <w:proofErr w:type="gramEnd"/>
          </w:p>
        </w:tc>
        <w:tc>
          <w:tcPr>
            <w:tcW w:w="992" w:type="dxa"/>
            <w:tcBorders>
              <w:top w:val="single" w:sz="8" w:space="0" w:color="auto"/>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9.80</w:t>
            </w: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Pop_3</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0.34</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w:t>
            </w:r>
            <w:proofErr w:type="gramStart"/>
            <w:r w:rsidRPr="005800E9">
              <w:rPr>
                <w:rFonts w:asciiTheme="majorBidi" w:hAnsiTheme="majorBidi" w:cstheme="majorBidi"/>
                <w:sz w:val="20"/>
                <w:szCs w:val="20"/>
              </w:rPr>
              <w:t>0.27</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2.03</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0.04</w:t>
            </w:r>
            <w:proofErr w:type="gramEnd"/>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30.49</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0.36</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5.11</w:t>
            </w:r>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172.41</w:t>
            </w: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Pop_4</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0.39</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w:t>
            </w:r>
            <w:proofErr w:type="gramStart"/>
            <w:r w:rsidRPr="005800E9">
              <w:rPr>
                <w:rFonts w:asciiTheme="majorBidi" w:hAnsiTheme="majorBidi" w:cstheme="majorBidi"/>
                <w:sz w:val="20"/>
                <w:szCs w:val="20"/>
              </w:rPr>
              <w:t>0.05</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2.48</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0.24</w:t>
            </w:r>
            <w:proofErr w:type="gramEnd"/>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36.53</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0.47</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0.19</w:t>
            </w:r>
            <w:proofErr w:type="gramEnd"/>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5.39</w:t>
            </w: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Pop_5</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0.36</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w:t>
            </w:r>
            <w:proofErr w:type="gramStart"/>
            <w:r w:rsidRPr="005800E9">
              <w:rPr>
                <w:rFonts w:asciiTheme="majorBidi" w:hAnsiTheme="majorBidi" w:cstheme="majorBidi"/>
                <w:sz w:val="20"/>
                <w:szCs w:val="20"/>
              </w:rPr>
              <w:t>0.17</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2.55</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0.26</w:t>
            </w:r>
            <w:proofErr w:type="gramEnd"/>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40.05</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0.49</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4.51</w:t>
            </w:r>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32.33</w:t>
            </w: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Pop_15</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0.36</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w:t>
            </w:r>
            <w:proofErr w:type="gramStart"/>
            <w:r w:rsidRPr="005800E9">
              <w:rPr>
                <w:rFonts w:asciiTheme="majorBidi" w:hAnsiTheme="majorBidi" w:cstheme="majorBidi"/>
                <w:sz w:val="20"/>
                <w:szCs w:val="20"/>
              </w:rPr>
              <w:t>0.07</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2.41</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0.1</w:t>
            </w:r>
            <w:proofErr w:type="gramEnd"/>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32.92</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0.60</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0.43</w:t>
            </w:r>
            <w:proofErr w:type="gramEnd"/>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0</w:t>
            </w: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Pop_16</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0.34</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w:t>
            </w:r>
            <w:proofErr w:type="gramStart"/>
            <w:r w:rsidRPr="005800E9">
              <w:rPr>
                <w:rFonts w:asciiTheme="majorBidi" w:hAnsiTheme="majorBidi" w:cstheme="majorBidi"/>
                <w:sz w:val="20"/>
                <w:szCs w:val="20"/>
              </w:rPr>
              <w:t>0.03</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2.22</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0.02</w:t>
            </w:r>
            <w:proofErr w:type="gramEnd"/>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26.65</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0.45</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0.67</w:t>
            </w:r>
            <w:proofErr w:type="gramEnd"/>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0</w:t>
            </w: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Pop_17</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0.34</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w:t>
            </w:r>
            <w:proofErr w:type="gramStart"/>
            <w:r w:rsidRPr="005800E9">
              <w:rPr>
                <w:rFonts w:asciiTheme="majorBidi" w:hAnsiTheme="majorBidi" w:cstheme="majorBidi"/>
                <w:sz w:val="20"/>
                <w:szCs w:val="20"/>
              </w:rPr>
              <w:t>0.13</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2.11</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0.01</w:t>
            </w:r>
            <w:proofErr w:type="gramEnd"/>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28.48</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0.37</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0.23</w:t>
            </w:r>
            <w:proofErr w:type="gramEnd"/>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10.78</w:t>
            </w:r>
          </w:p>
        </w:tc>
      </w:tr>
      <w:tr w:rsidR="00BC6075" w:rsidRPr="005800E9" w:rsidTr="006B083F">
        <w:trPr>
          <w:cantSplit/>
          <w:trHeight w:val="170"/>
          <w:jc w:val="center"/>
        </w:trPr>
        <w:tc>
          <w:tcPr>
            <w:tcW w:w="750" w:type="dxa"/>
            <w:tcBorders>
              <w:top w:val="nil"/>
              <w:left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Pop_21</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0.37</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w:t>
            </w:r>
            <w:proofErr w:type="gramStart"/>
            <w:r w:rsidRPr="005800E9">
              <w:rPr>
                <w:rFonts w:asciiTheme="majorBidi" w:hAnsiTheme="majorBidi" w:cstheme="majorBidi"/>
                <w:sz w:val="20"/>
                <w:szCs w:val="20"/>
              </w:rPr>
              <w:t>0.08</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2.23</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0.08</w:t>
            </w:r>
            <w:proofErr w:type="gramEnd"/>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31.69</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0.55</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1.20</w:t>
            </w:r>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5.39</w:t>
            </w:r>
          </w:p>
        </w:tc>
      </w:tr>
      <w:tr w:rsidR="00BC6075" w:rsidRPr="005800E9" w:rsidTr="006B083F">
        <w:trPr>
          <w:cantSplit/>
          <w:trHeight w:val="170"/>
          <w:jc w:val="center"/>
        </w:trPr>
        <w:tc>
          <w:tcPr>
            <w:tcW w:w="750" w:type="dxa"/>
            <w:tcBorders>
              <w:top w:val="nil"/>
              <w:left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Pop_22</w:t>
            </w:r>
          </w:p>
        </w:tc>
        <w:tc>
          <w:tcPr>
            <w:tcW w:w="789" w:type="dxa"/>
            <w:tcBorders>
              <w:top w:val="nil"/>
              <w:left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lang w:val="en-GB"/>
              </w:rPr>
              <w:t>0.33</w:t>
            </w:r>
          </w:p>
        </w:tc>
        <w:tc>
          <w:tcPr>
            <w:tcW w:w="789" w:type="dxa"/>
            <w:tcBorders>
              <w:top w:val="nil"/>
              <w:left w:val="nil"/>
              <w:right w:val="nil"/>
            </w:tcBorders>
            <w:vAlign w:val="center"/>
          </w:tcPr>
          <w:p w:rsidR="00BC6075" w:rsidRPr="005800E9" w:rsidRDefault="00BC6075" w:rsidP="006B083F">
            <w:pPr>
              <w:jc w:val="center"/>
              <w:rPr>
                <w:rFonts w:asciiTheme="majorBidi" w:hAnsiTheme="majorBidi" w:cstheme="majorBidi"/>
                <w:sz w:val="20"/>
                <w:szCs w:val="20"/>
                <w:lang w:val="en-GB"/>
              </w:rPr>
            </w:pPr>
            <w:proofErr w:type="gramStart"/>
            <w:r w:rsidRPr="005800E9">
              <w:rPr>
                <w:rFonts w:asciiTheme="majorBidi" w:hAnsiTheme="majorBidi" w:cstheme="majorBidi"/>
                <w:sz w:val="20"/>
                <w:szCs w:val="20"/>
              </w:rPr>
              <w:t>0.05</w:t>
            </w:r>
            <w:proofErr w:type="gramEnd"/>
          </w:p>
        </w:tc>
        <w:tc>
          <w:tcPr>
            <w:tcW w:w="789" w:type="dxa"/>
            <w:tcBorders>
              <w:top w:val="nil"/>
              <w:left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lang w:val="en-GB"/>
              </w:rPr>
              <w:t>2.17</w:t>
            </w:r>
          </w:p>
        </w:tc>
        <w:tc>
          <w:tcPr>
            <w:tcW w:w="789" w:type="dxa"/>
            <w:tcBorders>
              <w:top w:val="nil"/>
              <w:left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lang w:val="en-GB"/>
              </w:rPr>
              <w:t>0.13</w:t>
            </w:r>
          </w:p>
        </w:tc>
        <w:tc>
          <w:tcPr>
            <w:tcW w:w="1058" w:type="dxa"/>
            <w:tcBorders>
              <w:top w:val="nil"/>
              <w:left w:val="nil"/>
              <w:right w:val="nil"/>
            </w:tcBorders>
            <w:vAlign w:val="bottom"/>
          </w:tcPr>
          <w:p w:rsidR="00BC6075" w:rsidRPr="005800E9" w:rsidRDefault="00BC6075" w:rsidP="006B083F">
            <w:pPr>
              <w:jc w:val="center"/>
              <w:rPr>
                <w:rFonts w:asciiTheme="majorBidi" w:hAnsiTheme="majorBidi" w:cstheme="majorBidi"/>
                <w:sz w:val="20"/>
                <w:szCs w:val="20"/>
                <w:lang w:val="en-GB"/>
              </w:rPr>
            </w:pPr>
            <w:r w:rsidRPr="005800E9">
              <w:rPr>
                <w:rFonts w:asciiTheme="majorBidi" w:hAnsiTheme="majorBidi" w:cstheme="majorBidi"/>
                <w:sz w:val="20"/>
                <w:szCs w:val="20"/>
              </w:rPr>
              <w:t>39.39</w:t>
            </w:r>
          </w:p>
        </w:tc>
        <w:tc>
          <w:tcPr>
            <w:tcW w:w="709" w:type="dxa"/>
            <w:tcBorders>
              <w:top w:val="nil"/>
              <w:left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lang w:val="en-GB"/>
              </w:rPr>
              <w:t>0.53</w:t>
            </w:r>
          </w:p>
        </w:tc>
        <w:tc>
          <w:tcPr>
            <w:tcW w:w="1134" w:type="dxa"/>
            <w:tcBorders>
              <w:top w:val="nil"/>
              <w:left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0.61</w:t>
            </w:r>
            <w:proofErr w:type="gramEnd"/>
          </w:p>
        </w:tc>
        <w:tc>
          <w:tcPr>
            <w:tcW w:w="992" w:type="dxa"/>
            <w:tcBorders>
              <w:top w:val="nil"/>
              <w:left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0</w:t>
            </w:r>
          </w:p>
        </w:tc>
      </w:tr>
      <w:tr w:rsidR="00BC6075" w:rsidRPr="005800E9" w:rsidTr="006B083F">
        <w:trPr>
          <w:cantSplit/>
          <w:trHeight w:val="170"/>
          <w:jc w:val="center"/>
        </w:trPr>
        <w:tc>
          <w:tcPr>
            <w:tcW w:w="750" w:type="dxa"/>
            <w:tcBorders>
              <w:top w:val="nil"/>
              <w:left w:val="nil"/>
              <w:bottom w:val="single" w:sz="4" w:space="0" w:color="auto"/>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Pop_23</w:t>
            </w:r>
          </w:p>
        </w:tc>
        <w:tc>
          <w:tcPr>
            <w:tcW w:w="789" w:type="dxa"/>
            <w:tcBorders>
              <w:top w:val="nil"/>
              <w:left w:val="nil"/>
              <w:bottom w:val="single" w:sz="4" w:space="0" w:color="auto"/>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0.32</w:t>
            </w:r>
            <w:proofErr w:type="gramEnd"/>
          </w:p>
        </w:tc>
        <w:tc>
          <w:tcPr>
            <w:tcW w:w="789" w:type="dxa"/>
            <w:tcBorders>
              <w:top w:val="nil"/>
              <w:left w:val="nil"/>
              <w:bottom w:val="single" w:sz="4" w:space="0" w:color="auto"/>
              <w:right w:val="nil"/>
            </w:tcBorders>
            <w:vAlign w:val="center"/>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0.02</w:t>
            </w:r>
            <w:proofErr w:type="gramEnd"/>
          </w:p>
        </w:tc>
        <w:tc>
          <w:tcPr>
            <w:tcW w:w="789" w:type="dxa"/>
            <w:tcBorders>
              <w:top w:val="nil"/>
              <w:left w:val="nil"/>
              <w:bottom w:val="single" w:sz="4" w:space="0" w:color="auto"/>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2.31</w:t>
            </w:r>
          </w:p>
        </w:tc>
        <w:tc>
          <w:tcPr>
            <w:tcW w:w="789" w:type="dxa"/>
            <w:tcBorders>
              <w:top w:val="nil"/>
              <w:left w:val="nil"/>
              <w:bottom w:val="single" w:sz="4" w:space="0" w:color="auto"/>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0.24</w:t>
            </w:r>
            <w:proofErr w:type="gramEnd"/>
          </w:p>
        </w:tc>
        <w:tc>
          <w:tcPr>
            <w:tcW w:w="1058" w:type="dxa"/>
            <w:tcBorders>
              <w:top w:val="nil"/>
              <w:left w:val="nil"/>
              <w:bottom w:val="single" w:sz="4" w:space="0" w:color="auto"/>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34.63</w:t>
            </w:r>
          </w:p>
        </w:tc>
        <w:tc>
          <w:tcPr>
            <w:tcW w:w="709" w:type="dxa"/>
            <w:tcBorders>
              <w:top w:val="nil"/>
              <w:left w:val="nil"/>
              <w:bottom w:val="single" w:sz="4" w:space="0" w:color="auto"/>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0.34</w:t>
            </w:r>
            <w:proofErr w:type="gramEnd"/>
          </w:p>
        </w:tc>
        <w:tc>
          <w:tcPr>
            <w:tcW w:w="1134" w:type="dxa"/>
            <w:tcBorders>
              <w:top w:val="nil"/>
              <w:left w:val="nil"/>
              <w:bottom w:val="single" w:sz="4" w:space="0" w:color="auto"/>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0.74</w:t>
            </w:r>
            <w:proofErr w:type="gramEnd"/>
          </w:p>
        </w:tc>
        <w:tc>
          <w:tcPr>
            <w:tcW w:w="992" w:type="dxa"/>
            <w:tcBorders>
              <w:top w:val="nil"/>
              <w:left w:val="nil"/>
              <w:bottom w:val="single" w:sz="4" w:space="0" w:color="auto"/>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32.33</w:t>
            </w:r>
          </w:p>
        </w:tc>
      </w:tr>
      <w:tr w:rsidR="00BC6075" w:rsidRPr="005800E9" w:rsidTr="006B083F">
        <w:trPr>
          <w:cantSplit/>
          <w:trHeight w:val="170"/>
          <w:jc w:val="center"/>
        </w:trPr>
        <w:tc>
          <w:tcPr>
            <w:tcW w:w="750" w:type="dxa"/>
            <w:tcBorders>
              <w:top w:val="single" w:sz="4" w:space="0" w:color="auto"/>
              <w:right w:val="nil"/>
            </w:tcBorders>
            <w:noWrap/>
            <w:vAlign w:val="bottom"/>
          </w:tcPr>
          <w:p w:rsidR="00BC6075" w:rsidRPr="005800E9" w:rsidRDefault="00BC6075" w:rsidP="006B083F">
            <w:pPr>
              <w:rPr>
                <w:rFonts w:asciiTheme="majorBidi" w:hAnsiTheme="majorBidi" w:cstheme="majorBidi"/>
                <w:sz w:val="20"/>
                <w:szCs w:val="20"/>
              </w:rPr>
            </w:pPr>
            <w:proofErr w:type="spellStart"/>
            <w:r w:rsidRPr="005800E9">
              <w:rPr>
                <w:rFonts w:asciiTheme="majorBidi" w:hAnsiTheme="majorBidi" w:cstheme="majorBidi"/>
                <w:sz w:val="20"/>
                <w:szCs w:val="20"/>
              </w:rPr>
              <w:t>Average</w:t>
            </w:r>
            <w:proofErr w:type="spellEnd"/>
          </w:p>
        </w:tc>
        <w:tc>
          <w:tcPr>
            <w:tcW w:w="789" w:type="dxa"/>
            <w:tcBorders>
              <w:top w:val="single" w:sz="4" w:space="0" w:color="auto"/>
              <w:left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0.35</w:t>
            </w:r>
            <w:proofErr w:type="gramEnd"/>
          </w:p>
        </w:tc>
        <w:tc>
          <w:tcPr>
            <w:tcW w:w="789" w:type="dxa"/>
            <w:tcBorders>
              <w:top w:val="single" w:sz="4" w:space="0" w:color="auto"/>
              <w:left w:val="nil"/>
              <w:right w:val="nil"/>
            </w:tcBorders>
            <w:vAlign w:val="center"/>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w:t>
            </w:r>
            <w:proofErr w:type="gramStart"/>
            <w:r w:rsidRPr="005800E9">
              <w:rPr>
                <w:rFonts w:asciiTheme="majorBidi" w:hAnsiTheme="majorBidi" w:cstheme="majorBidi"/>
                <w:sz w:val="20"/>
                <w:szCs w:val="20"/>
              </w:rPr>
              <w:t>0.08</w:t>
            </w:r>
            <w:proofErr w:type="gramEnd"/>
          </w:p>
        </w:tc>
        <w:tc>
          <w:tcPr>
            <w:tcW w:w="789" w:type="dxa"/>
            <w:tcBorders>
              <w:top w:val="single" w:sz="4" w:space="0" w:color="auto"/>
              <w:left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2.28</w:t>
            </w:r>
          </w:p>
        </w:tc>
        <w:tc>
          <w:tcPr>
            <w:tcW w:w="789" w:type="dxa"/>
            <w:tcBorders>
              <w:top w:val="single" w:sz="4" w:space="0" w:color="auto"/>
              <w:left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0.13</w:t>
            </w:r>
            <w:proofErr w:type="gramEnd"/>
          </w:p>
        </w:tc>
        <w:tc>
          <w:tcPr>
            <w:tcW w:w="1058" w:type="dxa"/>
            <w:tcBorders>
              <w:top w:val="single" w:sz="4" w:space="0" w:color="auto"/>
              <w:left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32.46</w:t>
            </w:r>
          </w:p>
        </w:tc>
        <w:tc>
          <w:tcPr>
            <w:tcW w:w="709" w:type="dxa"/>
            <w:tcBorders>
              <w:top w:val="single" w:sz="4" w:space="0" w:color="auto"/>
              <w:left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0.46</w:t>
            </w:r>
            <w:proofErr w:type="gramEnd"/>
          </w:p>
        </w:tc>
        <w:tc>
          <w:tcPr>
            <w:tcW w:w="1134" w:type="dxa"/>
            <w:tcBorders>
              <w:top w:val="single" w:sz="4" w:space="0" w:color="auto"/>
              <w:left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1.38</w:t>
            </w:r>
          </w:p>
        </w:tc>
        <w:tc>
          <w:tcPr>
            <w:tcW w:w="992" w:type="dxa"/>
            <w:tcBorders>
              <w:top w:val="single" w:sz="4" w:space="0" w:color="auto"/>
              <w:left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26.84</w:t>
            </w:r>
          </w:p>
        </w:tc>
      </w:tr>
      <w:tr w:rsidR="00BC6075" w:rsidRPr="005800E9" w:rsidTr="006B083F">
        <w:trPr>
          <w:cantSplit/>
          <w:trHeight w:val="170"/>
          <w:jc w:val="center"/>
        </w:trPr>
        <w:tc>
          <w:tcPr>
            <w:tcW w:w="750" w:type="dxa"/>
            <w:tcBorders>
              <w:top w:val="nil"/>
              <w:left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SE</w:t>
            </w:r>
          </w:p>
        </w:tc>
        <w:tc>
          <w:tcPr>
            <w:tcW w:w="789" w:type="dxa"/>
            <w:tcBorders>
              <w:top w:val="nil"/>
              <w:left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0.01</w:t>
            </w:r>
            <w:proofErr w:type="gramEnd"/>
          </w:p>
        </w:tc>
        <w:tc>
          <w:tcPr>
            <w:tcW w:w="789" w:type="dxa"/>
            <w:tcBorders>
              <w:top w:val="nil"/>
              <w:left w:val="nil"/>
              <w:right w:val="nil"/>
            </w:tcBorders>
            <w:vAlign w:val="center"/>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0.03</w:t>
            </w:r>
            <w:proofErr w:type="gramEnd"/>
          </w:p>
        </w:tc>
        <w:tc>
          <w:tcPr>
            <w:tcW w:w="789" w:type="dxa"/>
            <w:tcBorders>
              <w:top w:val="nil"/>
              <w:left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0.05</w:t>
            </w:r>
            <w:proofErr w:type="gramEnd"/>
          </w:p>
        </w:tc>
        <w:tc>
          <w:tcPr>
            <w:tcW w:w="789" w:type="dxa"/>
            <w:tcBorders>
              <w:top w:val="nil"/>
              <w:left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0.03</w:t>
            </w:r>
            <w:proofErr w:type="gramEnd"/>
          </w:p>
        </w:tc>
        <w:tc>
          <w:tcPr>
            <w:tcW w:w="1058" w:type="dxa"/>
            <w:tcBorders>
              <w:top w:val="nil"/>
              <w:left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1.69</w:t>
            </w:r>
          </w:p>
        </w:tc>
        <w:tc>
          <w:tcPr>
            <w:tcW w:w="709" w:type="dxa"/>
            <w:tcBorders>
              <w:top w:val="nil"/>
              <w:left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0.03</w:t>
            </w:r>
            <w:proofErr w:type="gramEnd"/>
          </w:p>
        </w:tc>
        <w:tc>
          <w:tcPr>
            <w:tcW w:w="1134" w:type="dxa"/>
            <w:tcBorders>
              <w:top w:val="nil"/>
              <w:left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0.58</w:t>
            </w:r>
            <w:proofErr w:type="gramEnd"/>
          </w:p>
        </w:tc>
        <w:tc>
          <w:tcPr>
            <w:tcW w:w="992" w:type="dxa"/>
            <w:tcBorders>
              <w:top w:val="nil"/>
              <w:left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16.63</w:t>
            </w:r>
          </w:p>
        </w:tc>
      </w:tr>
      <w:tr w:rsidR="00BC6075" w:rsidRPr="005800E9" w:rsidTr="006B083F">
        <w:trPr>
          <w:cantSplit/>
          <w:trHeight w:val="170"/>
          <w:jc w:val="center"/>
        </w:trPr>
        <w:tc>
          <w:tcPr>
            <w:tcW w:w="750" w:type="dxa"/>
            <w:tcBorders>
              <w:left w:val="nil"/>
              <w:bottom w:val="single" w:sz="4" w:space="0" w:color="auto"/>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Norway</w:t>
            </w:r>
          </w:p>
        </w:tc>
        <w:tc>
          <w:tcPr>
            <w:tcW w:w="789" w:type="dxa"/>
            <w:tcBorders>
              <w:left w:val="nil"/>
              <w:bottom w:val="single" w:sz="4" w:space="0" w:color="auto"/>
              <w:right w:val="nil"/>
            </w:tcBorders>
            <w:noWrap/>
            <w:vAlign w:val="bottom"/>
          </w:tcPr>
          <w:p w:rsidR="00BC6075" w:rsidRPr="005800E9" w:rsidRDefault="00BC6075" w:rsidP="006B083F">
            <w:pPr>
              <w:jc w:val="center"/>
              <w:rPr>
                <w:rFonts w:asciiTheme="majorBidi" w:hAnsiTheme="majorBidi" w:cstheme="majorBidi"/>
                <w:sz w:val="20"/>
                <w:szCs w:val="20"/>
              </w:rPr>
            </w:pPr>
          </w:p>
        </w:tc>
        <w:tc>
          <w:tcPr>
            <w:tcW w:w="789" w:type="dxa"/>
            <w:tcBorders>
              <w:left w:val="nil"/>
              <w:bottom w:val="single" w:sz="4" w:space="0" w:color="auto"/>
              <w:right w:val="nil"/>
            </w:tcBorders>
            <w:vAlign w:val="center"/>
          </w:tcPr>
          <w:p w:rsidR="00BC6075" w:rsidRPr="005800E9" w:rsidRDefault="00BC6075" w:rsidP="006B083F">
            <w:pPr>
              <w:jc w:val="center"/>
              <w:rPr>
                <w:rFonts w:asciiTheme="majorBidi" w:hAnsiTheme="majorBidi" w:cstheme="majorBidi"/>
                <w:sz w:val="20"/>
                <w:szCs w:val="20"/>
              </w:rPr>
            </w:pPr>
          </w:p>
        </w:tc>
        <w:tc>
          <w:tcPr>
            <w:tcW w:w="789" w:type="dxa"/>
            <w:tcBorders>
              <w:left w:val="nil"/>
              <w:bottom w:val="single" w:sz="4" w:space="0" w:color="auto"/>
              <w:right w:val="nil"/>
            </w:tcBorders>
          </w:tcPr>
          <w:p w:rsidR="00BC6075" w:rsidRPr="005800E9" w:rsidRDefault="00BC6075" w:rsidP="006B083F">
            <w:pPr>
              <w:jc w:val="center"/>
              <w:rPr>
                <w:rFonts w:asciiTheme="majorBidi" w:hAnsiTheme="majorBidi" w:cstheme="majorBidi"/>
                <w:sz w:val="20"/>
                <w:szCs w:val="20"/>
              </w:rPr>
            </w:pPr>
          </w:p>
        </w:tc>
        <w:tc>
          <w:tcPr>
            <w:tcW w:w="789" w:type="dxa"/>
            <w:tcBorders>
              <w:left w:val="nil"/>
              <w:bottom w:val="single" w:sz="4" w:space="0" w:color="auto"/>
              <w:right w:val="nil"/>
            </w:tcBorders>
          </w:tcPr>
          <w:p w:rsidR="00BC6075" w:rsidRPr="005800E9" w:rsidRDefault="00BC6075" w:rsidP="006B083F">
            <w:pPr>
              <w:jc w:val="center"/>
              <w:rPr>
                <w:rFonts w:asciiTheme="majorBidi" w:hAnsiTheme="majorBidi" w:cstheme="majorBidi"/>
                <w:sz w:val="20"/>
                <w:szCs w:val="20"/>
              </w:rPr>
            </w:pPr>
          </w:p>
        </w:tc>
        <w:tc>
          <w:tcPr>
            <w:tcW w:w="1058" w:type="dxa"/>
            <w:tcBorders>
              <w:left w:val="nil"/>
              <w:bottom w:val="single" w:sz="4" w:space="0" w:color="auto"/>
              <w:right w:val="nil"/>
            </w:tcBorders>
          </w:tcPr>
          <w:p w:rsidR="00BC6075" w:rsidRPr="005800E9" w:rsidRDefault="00BC6075" w:rsidP="006B083F">
            <w:pPr>
              <w:jc w:val="center"/>
              <w:rPr>
                <w:rFonts w:asciiTheme="majorBidi" w:hAnsiTheme="majorBidi" w:cstheme="majorBidi"/>
                <w:sz w:val="20"/>
                <w:szCs w:val="20"/>
              </w:rPr>
            </w:pPr>
          </w:p>
        </w:tc>
        <w:tc>
          <w:tcPr>
            <w:tcW w:w="709" w:type="dxa"/>
            <w:tcBorders>
              <w:left w:val="nil"/>
              <w:bottom w:val="single" w:sz="4" w:space="0" w:color="auto"/>
              <w:right w:val="nil"/>
            </w:tcBorders>
            <w:noWrap/>
            <w:vAlign w:val="bottom"/>
          </w:tcPr>
          <w:p w:rsidR="00BC6075" w:rsidRPr="005800E9" w:rsidRDefault="00BC6075" w:rsidP="006B083F">
            <w:pPr>
              <w:jc w:val="center"/>
              <w:rPr>
                <w:rFonts w:asciiTheme="majorBidi" w:hAnsiTheme="majorBidi" w:cstheme="majorBidi"/>
                <w:sz w:val="20"/>
                <w:szCs w:val="20"/>
              </w:rPr>
            </w:pPr>
          </w:p>
        </w:tc>
        <w:tc>
          <w:tcPr>
            <w:tcW w:w="1134" w:type="dxa"/>
            <w:tcBorders>
              <w:left w:val="nil"/>
              <w:bottom w:val="single" w:sz="4" w:space="0" w:color="auto"/>
              <w:right w:val="nil"/>
            </w:tcBorders>
            <w:noWrap/>
            <w:vAlign w:val="bottom"/>
          </w:tcPr>
          <w:p w:rsidR="00BC6075" w:rsidRPr="005800E9" w:rsidRDefault="00BC6075" w:rsidP="006B083F">
            <w:pPr>
              <w:jc w:val="center"/>
              <w:rPr>
                <w:rFonts w:asciiTheme="majorBidi" w:hAnsiTheme="majorBidi" w:cstheme="majorBidi"/>
                <w:sz w:val="20"/>
                <w:szCs w:val="20"/>
              </w:rPr>
            </w:pPr>
          </w:p>
        </w:tc>
        <w:tc>
          <w:tcPr>
            <w:tcW w:w="992" w:type="dxa"/>
            <w:tcBorders>
              <w:left w:val="nil"/>
              <w:bottom w:val="single" w:sz="4" w:space="0" w:color="auto"/>
              <w:right w:val="nil"/>
            </w:tcBorders>
            <w:noWrap/>
            <w:vAlign w:val="bottom"/>
          </w:tcPr>
          <w:p w:rsidR="00BC6075" w:rsidRPr="005800E9" w:rsidRDefault="00BC6075" w:rsidP="006B083F">
            <w:pPr>
              <w:jc w:val="center"/>
              <w:rPr>
                <w:rFonts w:asciiTheme="majorBidi" w:hAnsiTheme="majorBidi" w:cstheme="majorBidi"/>
                <w:sz w:val="20"/>
                <w:szCs w:val="20"/>
              </w:rPr>
            </w:pP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N1</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0.25</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0.07</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2.02</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0.07</w:t>
            </w:r>
            <w:proofErr w:type="gramEnd"/>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11.09</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0.22</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0.30</w:t>
            </w:r>
            <w:proofErr w:type="gramEnd"/>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0</w:t>
            </w: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N2</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0.24</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w:t>
            </w:r>
            <w:proofErr w:type="gramStart"/>
            <w:r w:rsidRPr="005800E9">
              <w:rPr>
                <w:rFonts w:asciiTheme="majorBidi" w:hAnsiTheme="majorBidi" w:cstheme="majorBidi"/>
                <w:sz w:val="20"/>
                <w:szCs w:val="20"/>
              </w:rPr>
              <w:t>0.11</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1.96</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0.11</w:t>
            </w:r>
            <w:proofErr w:type="gramEnd"/>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15.39</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0.25</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1.50</w:t>
            </w:r>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183.19</w:t>
            </w: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N3</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0.25</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w:t>
            </w:r>
            <w:proofErr w:type="gramStart"/>
            <w:r w:rsidRPr="005800E9">
              <w:rPr>
                <w:rFonts w:asciiTheme="majorBidi" w:hAnsiTheme="majorBidi" w:cstheme="majorBidi"/>
                <w:sz w:val="20"/>
                <w:szCs w:val="20"/>
              </w:rPr>
              <w:t>0.06</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2.09</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0</w:t>
            </w:r>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9.37</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0.26</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0.63</w:t>
            </w:r>
            <w:proofErr w:type="gramEnd"/>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17.14</w:t>
            </w: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N4</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0.22</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0.08</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1.89</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0.04</w:t>
            </w:r>
            <w:proofErr w:type="gramEnd"/>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9.59</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0.33</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0.63</w:t>
            </w:r>
            <w:proofErr w:type="gramEnd"/>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18.34</w:t>
            </w: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N5</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0.28</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w:t>
            </w:r>
            <w:proofErr w:type="gramStart"/>
            <w:r w:rsidRPr="005800E9">
              <w:rPr>
                <w:rFonts w:asciiTheme="majorBidi" w:hAnsiTheme="majorBidi" w:cstheme="majorBidi"/>
                <w:sz w:val="20"/>
                <w:szCs w:val="20"/>
              </w:rPr>
              <w:t>0.11</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2.08</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0.11</w:t>
            </w:r>
            <w:proofErr w:type="gramEnd"/>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12.22</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0.32</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2.33</w:t>
            </w:r>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15.09</w:t>
            </w: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N6</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0.27</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w:t>
            </w:r>
            <w:proofErr w:type="gramStart"/>
            <w:r w:rsidRPr="005800E9">
              <w:rPr>
                <w:rFonts w:asciiTheme="majorBidi" w:hAnsiTheme="majorBidi" w:cstheme="majorBidi"/>
                <w:sz w:val="20"/>
                <w:szCs w:val="20"/>
              </w:rPr>
              <w:t>0.15</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1.89</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0</w:t>
            </w:r>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8.12</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0.25</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3.00</w:t>
            </w:r>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45.96</w:t>
            </w: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N7</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0.19</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w:t>
            </w:r>
            <w:proofErr w:type="gramStart"/>
            <w:r w:rsidRPr="005800E9">
              <w:rPr>
                <w:rFonts w:asciiTheme="majorBidi" w:hAnsiTheme="majorBidi" w:cstheme="majorBidi"/>
                <w:sz w:val="20"/>
                <w:szCs w:val="20"/>
              </w:rPr>
              <w:t>0.24</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1.73</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0.05</w:t>
            </w:r>
            <w:proofErr w:type="gramEnd"/>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16.41</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0.27</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15.00</w:t>
            </w:r>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161.64</w:t>
            </w: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N8</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0.20</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0.13</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1.76</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0</w:t>
            </w:r>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8.59</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0.24</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2.78</w:t>
            </w:r>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12.83</w:t>
            </w: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N9</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0.29</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0.00</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2.3</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0.11</w:t>
            </w:r>
            <w:proofErr w:type="gramEnd"/>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15.35</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0.34</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0.42</w:t>
            </w:r>
            <w:proofErr w:type="gramEnd"/>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93.39</w:t>
            </w: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N10</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0.25</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0.02</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2.07</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0.05</w:t>
            </w:r>
            <w:proofErr w:type="gramEnd"/>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14.26</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0.23</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3.50</w:t>
            </w:r>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46.53</w:t>
            </w: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N13</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0.34</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0.01</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2.64</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0.07</w:t>
            </w:r>
            <w:proofErr w:type="gramEnd"/>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31.97</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0.40</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0.70</w:t>
            </w:r>
            <w:proofErr w:type="gramEnd"/>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312.50</w:t>
            </w: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N14</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0.20</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w:t>
            </w:r>
            <w:proofErr w:type="gramStart"/>
            <w:r w:rsidRPr="005800E9">
              <w:rPr>
                <w:rFonts w:asciiTheme="majorBidi" w:hAnsiTheme="majorBidi" w:cstheme="majorBidi"/>
                <w:sz w:val="20"/>
                <w:szCs w:val="20"/>
              </w:rPr>
              <w:t>0.12</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1.68</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0</w:t>
            </w:r>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11.57</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0.30</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11.25</w:t>
            </w:r>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28.86</w:t>
            </w: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N15</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0.21</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0.23</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1.92</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0.08</w:t>
            </w:r>
            <w:proofErr w:type="gramEnd"/>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8.17</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0.30</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0.83</w:t>
            </w:r>
            <w:proofErr w:type="gramEnd"/>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0</w:t>
            </w:r>
          </w:p>
        </w:tc>
      </w:tr>
      <w:tr w:rsidR="00BC6075" w:rsidRPr="005800E9" w:rsidTr="006B083F">
        <w:trPr>
          <w:cantSplit/>
          <w:trHeight w:val="170"/>
          <w:jc w:val="center"/>
        </w:trPr>
        <w:tc>
          <w:tcPr>
            <w:tcW w:w="750" w:type="dxa"/>
            <w:tcBorders>
              <w:top w:val="nil"/>
              <w:left w:val="nil"/>
              <w:bottom w:val="single" w:sz="4" w:space="0" w:color="auto"/>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N16</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0.28</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0.02</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2.33</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0.07</w:t>
            </w:r>
            <w:proofErr w:type="gramEnd"/>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17.97</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0.32</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0.37</w:t>
            </w:r>
            <w:proofErr w:type="gramEnd"/>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7.92</w:t>
            </w:r>
          </w:p>
        </w:tc>
      </w:tr>
      <w:tr w:rsidR="00BC6075" w:rsidRPr="005800E9" w:rsidTr="006B083F">
        <w:trPr>
          <w:cantSplit/>
          <w:trHeight w:val="170"/>
          <w:jc w:val="center"/>
        </w:trPr>
        <w:tc>
          <w:tcPr>
            <w:tcW w:w="750" w:type="dxa"/>
            <w:tcBorders>
              <w:top w:val="single" w:sz="4" w:space="0" w:color="auto"/>
              <w:bottom w:val="nil"/>
              <w:right w:val="nil"/>
            </w:tcBorders>
            <w:noWrap/>
            <w:vAlign w:val="bottom"/>
          </w:tcPr>
          <w:p w:rsidR="00BC6075" w:rsidRPr="005800E9" w:rsidRDefault="00BC6075" w:rsidP="006B083F">
            <w:pPr>
              <w:rPr>
                <w:rFonts w:asciiTheme="majorBidi" w:hAnsiTheme="majorBidi" w:cstheme="majorBidi"/>
                <w:sz w:val="20"/>
                <w:szCs w:val="20"/>
              </w:rPr>
            </w:pPr>
            <w:proofErr w:type="spellStart"/>
            <w:r w:rsidRPr="005800E9">
              <w:rPr>
                <w:rFonts w:asciiTheme="majorBidi" w:hAnsiTheme="majorBidi" w:cstheme="majorBidi"/>
                <w:sz w:val="20"/>
                <w:szCs w:val="20"/>
              </w:rPr>
              <w:t>Average</w:t>
            </w:r>
            <w:proofErr w:type="spellEnd"/>
          </w:p>
        </w:tc>
        <w:tc>
          <w:tcPr>
            <w:tcW w:w="789" w:type="dxa"/>
            <w:tcBorders>
              <w:top w:val="single" w:sz="4" w:space="0" w:color="auto"/>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0.25</w:t>
            </w:r>
            <w:proofErr w:type="gramEnd"/>
          </w:p>
        </w:tc>
        <w:tc>
          <w:tcPr>
            <w:tcW w:w="789" w:type="dxa"/>
            <w:tcBorders>
              <w:top w:val="single" w:sz="4" w:space="0" w:color="auto"/>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w:t>
            </w:r>
            <w:proofErr w:type="gramStart"/>
            <w:r w:rsidRPr="005800E9">
              <w:rPr>
                <w:rFonts w:asciiTheme="majorBidi" w:hAnsiTheme="majorBidi" w:cstheme="majorBidi"/>
                <w:sz w:val="20"/>
                <w:szCs w:val="20"/>
              </w:rPr>
              <w:t>0.02</w:t>
            </w:r>
            <w:proofErr w:type="gramEnd"/>
          </w:p>
        </w:tc>
        <w:tc>
          <w:tcPr>
            <w:tcW w:w="789" w:type="dxa"/>
            <w:tcBorders>
              <w:top w:val="single" w:sz="4" w:space="0" w:color="auto"/>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2.03</w:t>
            </w:r>
          </w:p>
        </w:tc>
        <w:tc>
          <w:tcPr>
            <w:tcW w:w="789" w:type="dxa"/>
            <w:tcBorders>
              <w:top w:val="single" w:sz="4" w:space="0" w:color="auto"/>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0.05</w:t>
            </w:r>
            <w:proofErr w:type="gramEnd"/>
          </w:p>
        </w:tc>
        <w:tc>
          <w:tcPr>
            <w:tcW w:w="1058" w:type="dxa"/>
            <w:tcBorders>
              <w:top w:val="single" w:sz="4" w:space="0" w:color="auto"/>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13.58</w:t>
            </w:r>
          </w:p>
        </w:tc>
        <w:tc>
          <w:tcPr>
            <w:tcW w:w="709" w:type="dxa"/>
            <w:tcBorders>
              <w:top w:val="single" w:sz="4" w:space="0" w:color="auto"/>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0.29</w:t>
            </w:r>
            <w:proofErr w:type="gramEnd"/>
          </w:p>
        </w:tc>
        <w:tc>
          <w:tcPr>
            <w:tcW w:w="1134" w:type="dxa"/>
            <w:tcBorders>
              <w:top w:val="single" w:sz="4" w:space="0" w:color="auto"/>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3.09</w:t>
            </w:r>
          </w:p>
        </w:tc>
        <w:tc>
          <w:tcPr>
            <w:tcW w:w="992" w:type="dxa"/>
            <w:tcBorders>
              <w:top w:val="single" w:sz="4" w:space="0" w:color="auto"/>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67.39</w:t>
            </w: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SE</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0.01</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0.03</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0.07</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0.01</w:t>
            </w:r>
            <w:proofErr w:type="gramEnd"/>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1.66</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0.01</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1.19</w:t>
            </w:r>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24.44</w:t>
            </w:r>
          </w:p>
        </w:tc>
      </w:tr>
      <w:tr w:rsidR="00BC6075" w:rsidRPr="005800E9" w:rsidTr="006B083F">
        <w:trPr>
          <w:cantSplit/>
          <w:trHeight w:val="170"/>
          <w:jc w:val="center"/>
        </w:trPr>
        <w:tc>
          <w:tcPr>
            <w:tcW w:w="750" w:type="dxa"/>
            <w:tcBorders>
              <w:top w:val="nil"/>
              <w:left w:val="nil"/>
              <w:bottom w:val="single" w:sz="4" w:space="0" w:color="auto"/>
              <w:right w:val="nil"/>
            </w:tcBorders>
            <w:noWrap/>
            <w:vAlign w:val="bottom"/>
          </w:tcPr>
          <w:p w:rsidR="00BC6075" w:rsidRPr="005800E9" w:rsidRDefault="00BC6075" w:rsidP="006B083F">
            <w:pPr>
              <w:rPr>
                <w:rFonts w:asciiTheme="majorBidi" w:hAnsiTheme="majorBidi" w:cstheme="majorBidi"/>
                <w:sz w:val="20"/>
                <w:szCs w:val="20"/>
              </w:rPr>
            </w:pPr>
            <w:proofErr w:type="spellStart"/>
            <w:r w:rsidRPr="005800E9">
              <w:rPr>
                <w:rFonts w:asciiTheme="majorBidi" w:hAnsiTheme="majorBidi" w:cstheme="majorBidi"/>
                <w:sz w:val="20"/>
                <w:szCs w:val="20"/>
              </w:rPr>
              <w:t>Sweden</w:t>
            </w:r>
            <w:proofErr w:type="spellEnd"/>
          </w:p>
        </w:tc>
        <w:tc>
          <w:tcPr>
            <w:tcW w:w="789" w:type="dxa"/>
            <w:tcBorders>
              <w:top w:val="nil"/>
              <w:left w:val="nil"/>
              <w:bottom w:val="single" w:sz="4" w:space="0" w:color="auto"/>
              <w:right w:val="nil"/>
            </w:tcBorders>
            <w:noWrap/>
            <w:vAlign w:val="bottom"/>
          </w:tcPr>
          <w:p w:rsidR="00BC6075" w:rsidRPr="005800E9" w:rsidRDefault="00BC6075" w:rsidP="006B083F">
            <w:pPr>
              <w:jc w:val="center"/>
              <w:rPr>
                <w:rFonts w:asciiTheme="majorBidi" w:hAnsiTheme="majorBidi" w:cstheme="majorBidi"/>
                <w:sz w:val="20"/>
                <w:szCs w:val="20"/>
              </w:rPr>
            </w:pPr>
          </w:p>
        </w:tc>
        <w:tc>
          <w:tcPr>
            <w:tcW w:w="789" w:type="dxa"/>
            <w:tcBorders>
              <w:top w:val="nil"/>
              <w:left w:val="nil"/>
              <w:bottom w:val="single" w:sz="4" w:space="0" w:color="auto"/>
              <w:right w:val="nil"/>
            </w:tcBorders>
            <w:vAlign w:val="center"/>
          </w:tcPr>
          <w:p w:rsidR="00BC6075" w:rsidRPr="005800E9" w:rsidRDefault="00BC6075" w:rsidP="006B083F">
            <w:pPr>
              <w:jc w:val="center"/>
              <w:rPr>
                <w:rFonts w:asciiTheme="majorBidi" w:hAnsiTheme="majorBidi" w:cstheme="majorBidi"/>
                <w:sz w:val="20"/>
                <w:szCs w:val="20"/>
              </w:rPr>
            </w:pPr>
          </w:p>
        </w:tc>
        <w:tc>
          <w:tcPr>
            <w:tcW w:w="789" w:type="dxa"/>
            <w:tcBorders>
              <w:top w:val="nil"/>
              <w:left w:val="nil"/>
              <w:bottom w:val="single" w:sz="4" w:space="0" w:color="auto"/>
              <w:right w:val="nil"/>
            </w:tcBorders>
          </w:tcPr>
          <w:p w:rsidR="00BC6075" w:rsidRPr="005800E9" w:rsidRDefault="00BC6075" w:rsidP="006B083F">
            <w:pPr>
              <w:jc w:val="center"/>
              <w:rPr>
                <w:rFonts w:asciiTheme="majorBidi" w:hAnsiTheme="majorBidi" w:cstheme="majorBidi"/>
                <w:sz w:val="20"/>
                <w:szCs w:val="20"/>
              </w:rPr>
            </w:pPr>
          </w:p>
        </w:tc>
        <w:tc>
          <w:tcPr>
            <w:tcW w:w="789" w:type="dxa"/>
            <w:tcBorders>
              <w:top w:val="nil"/>
              <w:left w:val="nil"/>
              <w:bottom w:val="single" w:sz="4" w:space="0" w:color="auto"/>
              <w:right w:val="nil"/>
            </w:tcBorders>
          </w:tcPr>
          <w:p w:rsidR="00BC6075" w:rsidRPr="005800E9" w:rsidRDefault="00BC6075" w:rsidP="006B083F">
            <w:pPr>
              <w:jc w:val="center"/>
              <w:rPr>
                <w:rFonts w:asciiTheme="majorBidi" w:hAnsiTheme="majorBidi" w:cstheme="majorBidi"/>
                <w:sz w:val="20"/>
                <w:szCs w:val="20"/>
              </w:rPr>
            </w:pPr>
          </w:p>
        </w:tc>
        <w:tc>
          <w:tcPr>
            <w:tcW w:w="1058" w:type="dxa"/>
            <w:tcBorders>
              <w:top w:val="nil"/>
              <w:left w:val="nil"/>
              <w:bottom w:val="single" w:sz="4" w:space="0" w:color="auto"/>
              <w:right w:val="nil"/>
            </w:tcBorders>
          </w:tcPr>
          <w:p w:rsidR="00BC6075" w:rsidRPr="005800E9" w:rsidRDefault="00BC6075" w:rsidP="006B083F">
            <w:pPr>
              <w:jc w:val="center"/>
              <w:rPr>
                <w:rFonts w:asciiTheme="majorBidi" w:hAnsiTheme="majorBidi" w:cstheme="majorBidi"/>
                <w:sz w:val="20"/>
                <w:szCs w:val="20"/>
              </w:rPr>
            </w:pPr>
          </w:p>
        </w:tc>
        <w:tc>
          <w:tcPr>
            <w:tcW w:w="709" w:type="dxa"/>
            <w:tcBorders>
              <w:top w:val="nil"/>
              <w:left w:val="nil"/>
              <w:bottom w:val="single" w:sz="4" w:space="0" w:color="auto"/>
              <w:right w:val="nil"/>
            </w:tcBorders>
            <w:noWrap/>
            <w:vAlign w:val="bottom"/>
          </w:tcPr>
          <w:p w:rsidR="00BC6075" w:rsidRPr="005800E9" w:rsidRDefault="00BC6075" w:rsidP="006B083F">
            <w:pPr>
              <w:jc w:val="center"/>
              <w:rPr>
                <w:rFonts w:asciiTheme="majorBidi" w:hAnsiTheme="majorBidi" w:cstheme="majorBidi"/>
                <w:sz w:val="20"/>
                <w:szCs w:val="20"/>
              </w:rPr>
            </w:pPr>
          </w:p>
        </w:tc>
        <w:tc>
          <w:tcPr>
            <w:tcW w:w="1134" w:type="dxa"/>
            <w:tcBorders>
              <w:top w:val="nil"/>
              <w:left w:val="nil"/>
              <w:bottom w:val="single" w:sz="4" w:space="0" w:color="auto"/>
              <w:right w:val="nil"/>
            </w:tcBorders>
            <w:noWrap/>
            <w:vAlign w:val="bottom"/>
          </w:tcPr>
          <w:p w:rsidR="00BC6075" w:rsidRPr="005800E9" w:rsidRDefault="00BC6075" w:rsidP="006B083F">
            <w:pPr>
              <w:jc w:val="center"/>
              <w:rPr>
                <w:rFonts w:asciiTheme="majorBidi" w:hAnsiTheme="majorBidi" w:cstheme="majorBidi"/>
                <w:sz w:val="20"/>
                <w:szCs w:val="20"/>
              </w:rPr>
            </w:pPr>
          </w:p>
        </w:tc>
        <w:tc>
          <w:tcPr>
            <w:tcW w:w="992" w:type="dxa"/>
            <w:tcBorders>
              <w:top w:val="nil"/>
              <w:left w:val="nil"/>
              <w:bottom w:val="single" w:sz="4" w:space="0" w:color="auto"/>
              <w:right w:val="nil"/>
            </w:tcBorders>
            <w:noWrap/>
            <w:vAlign w:val="bottom"/>
          </w:tcPr>
          <w:p w:rsidR="00BC6075" w:rsidRPr="005800E9" w:rsidRDefault="00BC6075" w:rsidP="006B083F">
            <w:pPr>
              <w:jc w:val="center"/>
              <w:rPr>
                <w:rFonts w:asciiTheme="majorBidi" w:hAnsiTheme="majorBidi" w:cstheme="majorBidi"/>
                <w:sz w:val="20"/>
                <w:szCs w:val="20"/>
              </w:rPr>
            </w:pP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S1</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0.33</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0.03</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2.21</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0</w:t>
            </w:r>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19.75</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0.30</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0.25</w:t>
            </w:r>
            <w:proofErr w:type="gramEnd"/>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S2</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0.36</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w:t>
            </w:r>
            <w:proofErr w:type="gramStart"/>
            <w:r w:rsidRPr="005800E9">
              <w:rPr>
                <w:rFonts w:asciiTheme="majorBidi" w:hAnsiTheme="majorBidi" w:cstheme="majorBidi"/>
                <w:sz w:val="20"/>
                <w:szCs w:val="20"/>
              </w:rPr>
              <w:t>0.13</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2.32</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0.12</w:t>
            </w:r>
            <w:proofErr w:type="gramEnd"/>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18.17</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0.31</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2.00</w:t>
            </w:r>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S3</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0.36</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0.00</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2.22</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0.01</w:t>
            </w:r>
            <w:proofErr w:type="gramEnd"/>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15.84</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0.35</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2.00</w:t>
            </w:r>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S6</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0.27</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w:t>
            </w:r>
            <w:proofErr w:type="gramStart"/>
            <w:r w:rsidRPr="005800E9">
              <w:rPr>
                <w:rFonts w:asciiTheme="majorBidi" w:hAnsiTheme="majorBidi" w:cstheme="majorBidi"/>
                <w:sz w:val="20"/>
                <w:szCs w:val="20"/>
              </w:rPr>
              <w:t>0.06</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2.05</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0.04</w:t>
            </w:r>
            <w:proofErr w:type="gramEnd"/>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13.39</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0.25</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1.20</w:t>
            </w:r>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S7</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0.28</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w:t>
            </w:r>
            <w:proofErr w:type="gramStart"/>
            <w:r w:rsidRPr="005800E9">
              <w:rPr>
                <w:rFonts w:asciiTheme="majorBidi" w:hAnsiTheme="majorBidi" w:cstheme="majorBidi"/>
                <w:sz w:val="20"/>
                <w:szCs w:val="20"/>
              </w:rPr>
              <w:t>0.09</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1.98</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0</w:t>
            </w:r>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11.26</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0.31</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2.67</w:t>
            </w:r>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S8</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0.31</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w:t>
            </w:r>
            <w:proofErr w:type="gramStart"/>
            <w:r w:rsidRPr="005800E9">
              <w:rPr>
                <w:rFonts w:asciiTheme="majorBidi" w:hAnsiTheme="majorBidi" w:cstheme="majorBidi"/>
                <w:sz w:val="20"/>
                <w:szCs w:val="20"/>
              </w:rPr>
              <w:t>0.06</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2.18</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0.06</w:t>
            </w:r>
            <w:proofErr w:type="gramEnd"/>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25.03</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0.40</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0.30</w:t>
            </w:r>
            <w:proofErr w:type="gramEnd"/>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S10</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0.35</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0.01</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2.41</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0.04</w:t>
            </w:r>
            <w:proofErr w:type="gramEnd"/>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18.55</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0.30</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1.25</w:t>
            </w:r>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S13</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0.36</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0.10</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2.4</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0.01</w:t>
            </w:r>
            <w:proofErr w:type="gramEnd"/>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17.96</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0.32</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2.00</w:t>
            </w:r>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S15</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0.38</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w:t>
            </w:r>
            <w:proofErr w:type="gramStart"/>
            <w:r w:rsidRPr="005800E9">
              <w:rPr>
                <w:rFonts w:asciiTheme="majorBidi" w:hAnsiTheme="majorBidi" w:cstheme="majorBidi"/>
                <w:sz w:val="20"/>
                <w:szCs w:val="20"/>
              </w:rPr>
              <w:t>0.06</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2.42</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0.04</w:t>
            </w:r>
            <w:proofErr w:type="gramEnd"/>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25.71</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0.38</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0.38</w:t>
            </w:r>
            <w:proofErr w:type="gramEnd"/>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S16</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0.21</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w:t>
            </w:r>
            <w:proofErr w:type="gramStart"/>
            <w:r w:rsidRPr="005800E9">
              <w:rPr>
                <w:rFonts w:asciiTheme="majorBidi" w:hAnsiTheme="majorBidi" w:cstheme="majorBidi"/>
                <w:sz w:val="20"/>
                <w:szCs w:val="20"/>
              </w:rPr>
              <w:t>0.25</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1.8</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0</w:t>
            </w:r>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29.34</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0.18</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0.20</w:t>
            </w:r>
            <w:proofErr w:type="gramEnd"/>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
        </w:tc>
      </w:tr>
      <w:tr w:rsidR="00BC6075" w:rsidRPr="005800E9" w:rsidTr="006B083F">
        <w:trPr>
          <w:cantSplit/>
          <w:trHeight w:val="170"/>
          <w:jc w:val="center"/>
        </w:trPr>
        <w:tc>
          <w:tcPr>
            <w:tcW w:w="750" w:type="dxa"/>
            <w:tcBorders>
              <w:top w:val="nil"/>
              <w:left w:val="nil"/>
              <w:bottom w:val="nil"/>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S17</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0.32</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0.05</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2.52</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0.18</w:t>
            </w:r>
            <w:proofErr w:type="gramEnd"/>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22.05</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0.44</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1.00</w:t>
            </w:r>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
        </w:tc>
      </w:tr>
      <w:tr w:rsidR="00BC6075" w:rsidRPr="005800E9" w:rsidTr="006B083F">
        <w:trPr>
          <w:cantSplit/>
          <w:trHeight w:val="170"/>
          <w:jc w:val="center"/>
        </w:trPr>
        <w:tc>
          <w:tcPr>
            <w:tcW w:w="750" w:type="dxa"/>
            <w:tcBorders>
              <w:top w:val="nil"/>
              <w:left w:val="nil"/>
              <w:bottom w:val="single" w:sz="4" w:space="0" w:color="auto"/>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S19</w:t>
            </w:r>
          </w:p>
        </w:tc>
        <w:tc>
          <w:tcPr>
            <w:tcW w:w="78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0.38</w:t>
            </w:r>
            <w:proofErr w:type="gramEnd"/>
          </w:p>
        </w:tc>
        <w:tc>
          <w:tcPr>
            <w:tcW w:w="789" w:type="dxa"/>
            <w:tcBorders>
              <w:top w:val="nil"/>
              <w:left w:val="nil"/>
              <w:bottom w:val="nil"/>
              <w:right w:val="nil"/>
            </w:tcBorders>
            <w:vAlign w:val="center"/>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0.18</w:t>
            </w:r>
            <w:proofErr w:type="gramEnd"/>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2.28</w:t>
            </w:r>
          </w:p>
        </w:tc>
        <w:tc>
          <w:tcPr>
            <w:tcW w:w="789"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0.06</w:t>
            </w:r>
            <w:proofErr w:type="gramEnd"/>
          </w:p>
        </w:tc>
        <w:tc>
          <w:tcPr>
            <w:tcW w:w="1058" w:type="dxa"/>
            <w:tcBorders>
              <w:top w:val="nil"/>
              <w:left w:val="nil"/>
              <w:bottom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16.03</w:t>
            </w:r>
          </w:p>
        </w:tc>
        <w:tc>
          <w:tcPr>
            <w:tcW w:w="709"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0.29</w:t>
            </w:r>
            <w:proofErr w:type="gramEnd"/>
          </w:p>
        </w:tc>
        <w:tc>
          <w:tcPr>
            <w:tcW w:w="1134"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0.67</w:t>
            </w:r>
            <w:proofErr w:type="gramEnd"/>
          </w:p>
        </w:tc>
        <w:tc>
          <w:tcPr>
            <w:tcW w:w="992" w:type="dxa"/>
            <w:tcBorders>
              <w:top w:val="nil"/>
              <w:left w:val="nil"/>
              <w:bottom w:val="nil"/>
              <w:right w:val="nil"/>
            </w:tcBorders>
            <w:noWrap/>
            <w:vAlign w:val="bottom"/>
          </w:tcPr>
          <w:p w:rsidR="00BC6075" w:rsidRPr="005800E9" w:rsidRDefault="00BC6075" w:rsidP="006B083F">
            <w:pPr>
              <w:jc w:val="center"/>
              <w:rPr>
                <w:rFonts w:asciiTheme="majorBidi" w:hAnsiTheme="majorBidi" w:cstheme="majorBidi"/>
                <w:sz w:val="20"/>
                <w:szCs w:val="20"/>
              </w:rPr>
            </w:pPr>
          </w:p>
        </w:tc>
      </w:tr>
      <w:tr w:rsidR="00BC6075" w:rsidRPr="005800E9" w:rsidTr="006B083F">
        <w:trPr>
          <w:cantSplit/>
          <w:trHeight w:val="170"/>
          <w:jc w:val="center"/>
        </w:trPr>
        <w:tc>
          <w:tcPr>
            <w:tcW w:w="750" w:type="dxa"/>
            <w:tcBorders>
              <w:top w:val="single" w:sz="4" w:space="0" w:color="auto"/>
              <w:right w:val="nil"/>
            </w:tcBorders>
            <w:noWrap/>
            <w:vAlign w:val="bottom"/>
          </w:tcPr>
          <w:p w:rsidR="00BC6075" w:rsidRPr="005800E9" w:rsidRDefault="00BC6075" w:rsidP="006B083F">
            <w:pPr>
              <w:rPr>
                <w:rFonts w:asciiTheme="majorBidi" w:hAnsiTheme="majorBidi" w:cstheme="majorBidi"/>
                <w:sz w:val="20"/>
                <w:szCs w:val="20"/>
              </w:rPr>
            </w:pPr>
            <w:proofErr w:type="spellStart"/>
            <w:r w:rsidRPr="005800E9">
              <w:rPr>
                <w:rFonts w:asciiTheme="majorBidi" w:hAnsiTheme="majorBidi" w:cstheme="majorBidi"/>
                <w:sz w:val="20"/>
                <w:szCs w:val="20"/>
              </w:rPr>
              <w:t>Average</w:t>
            </w:r>
            <w:proofErr w:type="spellEnd"/>
          </w:p>
        </w:tc>
        <w:tc>
          <w:tcPr>
            <w:tcW w:w="789" w:type="dxa"/>
            <w:tcBorders>
              <w:top w:val="single" w:sz="4" w:space="0" w:color="auto"/>
              <w:left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0.33</w:t>
            </w:r>
            <w:proofErr w:type="gramEnd"/>
          </w:p>
        </w:tc>
        <w:tc>
          <w:tcPr>
            <w:tcW w:w="789" w:type="dxa"/>
            <w:tcBorders>
              <w:top w:val="single" w:sz="4" w:space="0" w:color="auto"/>
              <w:left w:val="nil"/>
              <w:right w:val="nil"/>
            </w:tcBorders>
            <w:vAlign w:val="center"/>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w:t>
            </w:r>
            <w:proofErr w:type="gramStart"/>
            <w:r w:rsidRPr="005800E9">
              <w:rPr>
                <w:rFonts w:asciiTheme="majorBidi" w:hAnsiTheme="majorBidi" w:cstheme="majorBidi"/>
                <w:sz w:val="20"/>
                <w:szCs w:val="20"/>
              </w:rPr>
              <w:t>0.02</w:t>
            </w:r>
            <w:proofErr w:type="gramEnd"/>
          </w:p>
        </w:tc>
        <w:tc>
          <w:tcPr>
            <w:tcW w:w="789" w:type="dxa"/>
            <w:tcBorders>
              <w:top w:val="single" w:sz="4" w:space="0" w:color="auto"/>
              <w:left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2.23</w:t>
            </w:r>
          </w:p>
        </w:tc>
        <w:tc>
          <w:tcPr>
            <w:tcW w:w="789" w:type="dxa"/>
            <w:tcBorders>
              <w:top w:val="single" w:sz="4" w:space="0" w:color="auto"/>
              <w:left w:val="nil"/>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0.05</w:t>
            </w:r>
            <w:proofErr w:type="gramEnd"/>
          </w:p>
        </w:tc>
        <w:tc>
          <w:tcPr>
            <w:tcW w:w="1058" w:type="dxa"/>
            <w:tcBorders>
              <w:top w:val="single" w:sz="4" w:space="0" w:color="auto"/>
              <w:left w:val="nil"/>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19.42</w:t>
            </w:r>
          </w:p>
        </w:tc>
        <w:tc>
          <w:tcPr>
            <w:tcW w:w="709" w:type="dxa"/>
            <w:tcBorders>
              <w:top w:val="single" w:sz="4" w:space="0" w:color="auto"/>
              <w:left w:val="nil"/>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0.32</w:t>
            </w:r>
            <w:proofErr w:type="gramEnd"/>
          </w:p>
        </w:tc>
        <w:tc>
          <w:tcPr>
            <w:tcW w:w="1134" w:type="dxa"/>
            <w:tcBorders>
              <w:top w:val="single" w:sz="4" w:space="0" w:color="auto"/>
              <w:left w:val="nil"/>
              <w:right w:val="nil"/>
            </w:tcBorders>
            <w:noWrap/>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1.16</w:t>
            </w:r>
          </w:p>
        </w:tc>
        <w:tc>
          <w:tcPr>
            <w:tcW w:w="992" w:type="dxa"/>
            <w:tcBorders>
              <w:top w:val="single" w:sz="4" w:space="0" w:color="auto"/>
              <w:left w:val="nil"/>
              <w:right w:val="nil"/>
            </w:tcBorders>
            <w:noWrap/>
            <w:vAlign w:val="bottom"/>
          </w:tcPr>
          <w:p w:rsidR="00BC6075" w:rsidRPr="005800E9" w:rsidRDefault="00BC6075" w:rsidP="006B083F">
            <w:pPr>
              <w:jc w:val="center"/>
              <w:rPr>
                <w:rFonts w:asciiTheme="majorBidi" w:hAnsiTheme="majorBidi" w:cstheme="majorBidi"/>
                <w:sz w:val="20"/>
                <w:szCs w:val="20"/>
              </w:rPr>
            </w:pPr>
          </w:p>
        </w:tc>
      </w:tr>
      <w:tr w:rsidR="00BC6075" w:rsidRPr="005800E9" w:rsidTr="006B083F">
        <w:trPr>
          <w:cantSplit/>
          <w:trHeight w:val="170"/>
          <w:jc w:val="center"/>
        </w:trPr>
        <w:tc>
          <w:tcPr>
            <w:tcW w:w="750" w:type="dxa"/>
            <w:tcBorders>
              <w:top w:val="nil"/>
              <w:left w:val="nil"/>
              <w:bottom w:val="single" w:sz="12" w:space="0" w:color="auto"/>
              <w:right w:val="nil"/>
            </w:tcBorders>
            <w:noWrap/>
            <w:vAlign w:val="bottom"/>
          </w:tcPr>
          <w:p w:rsidR="00BC6075" w:rsidRPr="005800E9" w:rsidRDefault="00BC6075" w:rsidP="006B083F">
            <w:pPr>
              <w:rPr>
                <w:rFonts w:asciiTheme="majorBidi" w:hAnsiTheme="majorBidi" w:cstheme="majorBidi"/>
                <w:sz w:val="20"/>
                <w:szCs w:val="20"/>
              </w:rPr>
            </w:pPr>
            <w:r w:rsidRPr="005800E9">
              <w:rPr>
                <w:rFonts w:asciiTheme="majorBidi" w:hAnsiTheme="majorBidi" w:cstheme="majorBidi"/>
                <w:sz w:val="20"/>
                <w:szCs w:val="20"/>
              </w:rPr>
              <w:t>SE</w:t>
            </w:r>
          </w:p>
        </w:tc>
        <w:tc>
          <w:tcPr>
            <w:tcW w:w="789" w:type="dxa"/>
            <w:tcBorders>
              <w:top w:val="nil"/>
              <w:left w:val="nil"/>
              <w:bottom w:val="single" w:sz="12" w:space="0" w:color="auto"/>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0.01</w:t>
            </w:r>
            <w:proofErr w:type="gramEnd"/>
          </w:p>
        </w:tc>
        <w:tc>
          <w:tcPr>
            <w:tcW w:w="789" w:type="dxa"/>
            <w:tcBorders>
              <w:top w:val="nil"/>
              <w:left w:val="nil"/>
              <w:bottom w:val="single" w:sz="12" w:space="0" w:color="auto"/>
              <w:right w:val="nil"/>
            </w:tcBorders>
            <w:vAlign w:val="center"/>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0.03</w:t>
            </w:r>
            <w:proofErr w:type="gramEnd"/>
          </w:p>
        </w:tc>
        <w:tc>
          <w:tcPr>
            <w:tcW w:w="789" w:type="dxa"/>
            <w:tcBorders>
              <w:top w:val="nil"/>
              <w:left w:val="nil"/>
              <w:bottom w:val="single" w:sz="12" w:space="0" w:color="auto"/>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0.06</w:t>
            </w:r>
            <w:proofErr w:type="gramEnd"/>
          </w:p>
        </w:tc>
        <w:tc>
          <w:tcPr>
            <w:tcW w:w="789" w:type="dxa"/>
            <w:tcBorders>
              <w:top w:val="nil"/>
              <w:left w:val="nil"/>
              <w:bottom w:val="single" w:sz="12" w:space="0" w:color="auto"/>
              <w:right w:val="nil"/>
            </w:tcBorders>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0.02</w:t>
            </w:r>
            <w:proofErr w:type="gramEnd"/>
          </w:p>
        </w:tc>
        <w:tc>
          <w:tcPr>
            <w:tcW w:w="1058" w:type="dxa"/>
            <w:tcBorders>
              <w:top w:val="nil"/>
              <w:left w:val="nil"/>
              <w:bottom w:val="single" w:sz="12" w:space="0" w:color="auto"/>
              <w:right w:val="nil"/>
            </w:tcBorders>
            <w:vAlign w:val="bottom"/>
          </w:tcPr>
          <w:p w:rsidR="00BC6075" w:rsidRPr="005800E9" w:rsidRDefault="00BC6075" w:rsidP="006B083F">
            <w:pPr>
              <w:jc w:val="center"/>
              <w:rPr>
                <w:rFonts w:asciiTheme="majorBidi" w:hAnsiTheme="majorBidi" w:cstheme="majorBidi"/>
                <w:sz w:val="20"/>
                <w:szCs w:val="20"/>
              </w:rPr>
            </w:pPr>
            <w:r w:rsidRPr="005800E9">
              <w:rPr>
                <w:rFonts w:asciiTheme="majorBidi" w:hAnsiTheme="majorBidi" w:cstheme="majorBidi"/>
                <w:sz w:val="20"/>
                <w:szCs w:val="20"/>
              </w:rPr>
              <w:t>1.53</w:t>
            </w:r>
          </w:p>
        </w:tc>
        <w:tc>
          <w:tcPr>
            <w:tcW w:w="709" w:type="dxa"/>
            <w:tcBorders>
              <w:top w:val="nil"/>
              <w:left w:val="nil"/>
              <w:bottom w:val="single" w:sz="12" w:space="0" w:color="auto"/>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0.02</w:t>
            </w:r>
            <w:proofErr w:type="gramEnd"/>
          </w:p>
        </w:tc>
        <w:tc>
          <w:tcPr>
            <w:tcW w:w="1134" w:type="dxa"/>
            <w:tcBorders>
              <w:top w:val="nil"/>
              <w:left w:val="nil"/>
              <w:bottom w:val="single" w:sz="12" w:space="0" w:color="auto"/>
              <w:right w:val="nil"/>
            </w:tcBorders>
            <w:noWrap/>
            <w:vAlign w:val="bottom"/>
          </w:tcPr>
          <w:p w:rsidR="00BC6075" w:rsidRPr="005800E9" w:rsidRDefault="00BC6075" w:rsidP="006B083F">
            <w:pPr>
              <w:jc w:val="center"/>
              <w:rPr>
                <w:rFonts w:asciiTheme="majorBidi" w:hAnsiTheme="majorBidi" w:cstheme="majorBidi"/>
                <w:sz w:val="20"/>
                <w:szCs w:val="20"/>
              </w:rPr>
            </w:pPr>
            <w:proofErr w:type="gramStart"/>
            <w:r w:rsidRPr="005800E9">
              <w:rPr>
                <w:rFonts w:asciiTheme="majorBidi" w:hAnsiTheme="majorBidi" w:cstheme="majorBidi"/>
                <w:sz w:val="20"/>
                <w:szCs w:val="20"/>
              </w:rPr>
              <w:t>0.24</w:t>
            </w:r>
            <w:proofErr w:type="gramEnd"/>
          </w:p>
        </w:tc>
        <w:tc>
          <w:tcPr>
            <w:tcW w:w="992" w:type="dxa"/>
            <w:tcBorders>
              <w:top w:val="nil"/>
              <w:left w:val="nil"/>
              <w:bottom w:val="single" w:sz="12" w:space="0" w:color="auto"/>
              <w:right w:val="nil"/>
            </w:tcBorders>
            <w:noWrap/>
            <w:vAlign w:val="bottom"/>
          </w:tcPr>
          <w:p w:rsidR="00BC6075" w:rsidRPr="005800E9" w:rsidRDefault="00BC6075" w:rsidP="006B083F">
            <w:pPr>
              <w:jc w:val="center"/>
              <w:rPr>
                <w:rFonts w:asciiTheme="majorBidi" w:hAnsiTheme="majorBidi" w:cstheme="majorBidi"/>
                <w:sz w:val="20"/>
                <w:szCs w:val="20"/>
              </w:rPr>
            </w:pPr>
          </w:p>
        </w:tc>
      </w:tr>
    </w:tbl>
    <w:p w:rsidR="00BC6075" w:rsidRPr="00EB4D7C" w:rsidRDefault="00BC6075" w:rsidP="00BC6075">
      <w:pPr>
        <w:spacing w:after="200" w:line="276" w:lineRule="auto"/>
        <w:rPr>
          <w:rFonts w:asciiTheme="majorBidi" w:hAnsiTheme="majorBidi" w:cstheme="majorBidi"/>
        </w:rPr>
      </w:pPr>
    </w:p>
    <w:p w:rsidR="00BC6075" w:rsidRDefault="00BC6075">
      <w:pPr>
        <w:spacing w:after="200" w:line="276" w:lineRule="auto"/>
        <w:rPr>
          <w:rFonts w:asciiTheme="majorBidi" w:hAnsiTheme="majorBidi" w:cstheme="majorBidi"/>
          <w:b/>
          <w:bCs/>
          <w:lang w:val="en-US" w:eastAsia="en-US"/>
        </w:rPr>
      </w:pPr>
    </w:p>
    <w:p w:rsidR="00BC6075" w:rsidRDefault="009B2906" w:rsidP="00032D13">
      <w:pPr>
        <w:widowControl w:val="0"/>
        <w:autoSpaceDE w:val="0"/>
        <w:autoSpaceDN w:val="0"/>
        <w:adjustRightInd w:val="0"/>
        <w:spacing w:line="360" w:lineRule="auto"/>
        <w:rPr>
          <w:rFonts w:asciiTheme="majorBidi" w:hAnsiTheme="majorBidi" w:cstheme="majorBidi"/>
          <w:lang w:val="en-US"/>
        </w:rPr>
      </w:pPr>
      <w:r>
        <w:rPr>
          <w:rFonts w:asciiTheme="majorBidi" w:hAnsiTheme="majorBidi" w:cstheme="majorBidi"/>
          <w:lang w:val="en-GB"/>
        </w:rPr>
        <w:lastRenderedPageBreak/>
        <w:t>Figure</w:t>
      </w:r>
      <w:r w:rsidR="00BC6075">
        <w:rPr>
          <w:rFonts w:asciiTheme="majorBidi" w:hAnsiTheme="majorBidi" w:cstheme="majorBidi"/>
          <w:lang w:val="en-GB"/>
        </w:rPr>
        <w:t xml:space="preserve"> </w:t>
      </w:r>
      <w:r>
        <w:rPr>
          <w:rFonts w:asciiTheme="majorBidi" w:hAnsiTheme="majorBidi" w:cstheme="majorBidi"/>
          <w:lang w:val="en-GB"/>
        </w:rPr>
        <w:t>S1</w:t>
      </w:r>
      <w:r w:rsidR="00BC6075">
        <w:rPr>
          <w:rFonts w:asciiTheme="majorBidi" w:hAnsiTheme="majorBidi" w:cstheme="majorBidi"/>
          <w:lang w:val="en-US"/>
        </w:rPr>
        <w:t>-</w:t>
      </w:r>
      <w:r w:rsidR="00BC6075" w:rsidRPr="00EB4D7C">
        <w:rPr>
          <w:rFonts w:asciiTheme="majorBidi" w:hAnsiTheme="majorBidi" w:cstheme="majorBidi"/>
          <w:lang w:val="en-US"/>
        </w:rPr>
        <w:t xml:space="preserve"> </w:t>
      </w:r>
      <w:r w:rsidR="00032D13" w:rsidRPr="00032D13">
        <w:rPr>
          <w:rFonts w:asciiTheme="majorBidi" w:hAnsiTheme="majorBidi" w:cstheme="majorBidi"/>
          <w:lang w:val="en-US"/>
        </w:rPr>
        <w:t>Heterozygosity (</w:t>
      </w:r>
      <w:r w:rsidR="00032D13" w:rsidRPr="00032D13">
        <w:rPr>
          <w:rFonts w:asciiTheme="majorBidi" w:hAnsiTheme="majorBidi" w:cstheme="majorBidi"/>
          <w:i/>
          <w:iCs/>
          <w:lang w:val="en-US"/>
        </w:rPr>
        <w:t>H</w:t>
      </w:r>
      <w:r w:rsidR="00032D13" w:rsidRPr="00032D13">
        <w:rPr>
          <w:rFonts w:asciiTheme="majorBidi" w:hAnsiTheme="majorBidi" w:cstheme="majorBidi"/>
          <w:vertAlign w:val="subscript"/>
          <w:lang w:val="en-US"/>
        </w:rPr>
        <w:t>E</w:t>
      </w:r>
      <w:r w:rsidR="00032D13" w:rsidRPr="00032D13">
        <w:rPr>
          <w:rFonts w:asciiTheme="majorBidi" w:hAnsiTheme="majorBidi" w:cstheme="majorBidi"/>
          <w:lang w:val="en-US"/>
        </w:rPr>
        <w:t>), effective population size (</w:t>
      </w:r>
      <w:r w:rsidR="00032D13" w:rsidRPr="00032D13">
        <w:rPr>
          <w:rFonts w:asciiTheme="majorBidi" w:hAnsiTheme="majorBidi" w:cstheme="majorBidi"/>
          <w:i/>
          <w:iCs/>
          <w:lang w:val="en-US"/>
        </w:rPr>
        <w:t>N</w:t>
      </w:r>
      <w:r w:rsidR="00032D13" w:rsidRPr="00032D13">
        <w:rPr>
          <w:rFonts w:asciiTheme="majorBidi" w:hAnsiTheme="majorBidi" w:cstheme="majorBidi"/>
          <w:vertAlign w:val="subscript"/>
          <w:lang w:val="en-US"/>
        </w:rPr>
        <w:t>e</w:t>
      </w:r>
      <w:r w:rsidR="00032D13" w:rsidRPr="00032D13">
        <w:rPr>
          <w:rFonts w:asciiTheme="majorBidi" w:hAnsiTheme="majorBidi" w:cstheme="majorBidi"/>
          <w:lang w:val="en-US"/>
        </w:rPr>
        <w:t>), allelic richness (</w:t>
      </w:r>
      <w:r w:rsidR="00032D13" w:rsidRPr="00032D13">
        <w:rPr>
          <w:rFonts w:asciiTheme="majorBidi" w:hAnsiTheme="majorBidi" w:cstheme="majorBidi"/>
          <w:i/>
          <w:iCs/>
          <w:lang w:val="en-US"/>
        </w:rPr>
        <w:t>R</w:t>
      </w:r>
      <w:r w:rsidR="00032D13" w:rsidRPr="00032D13">
        <w:rPr>
          <w:rFonts w:asciiTheme="majorBidi" w:hAnsiTheme="majorBidi" w:cstheme="majorBidi"/>
          <w:vertAlign w:val="subscript"/>
          <w:lang w:val="en-US"/>
        </w:rPr>
        <w:t>S</w:t>
      </w:r>
      <w:r w:rsidR="00032D13" w:rsidRPr="00032D13">
        <w:rPr>
          <w:rFonts w:asciiTheme="majorBidi" w:hAnsiTheme="majorBidi" w:cstheme="majorBidi"/>
          <w:lang w:val="en-US"/>
        </w:rPr>
        <w:t>) and private allelic richness (</w:t>
      </w:r>
      <w:r w:rsidR="00032D13" w:rsidRPr="00032D13">
        <w:rPr>
          <w:rFonts w:asciiTheme="majorBidi" w:hAnsiTheme="majorBidi" w:cstheme="majorBidi"/>
          <w:i/>
          <w:iCs/>
          <w:lang w:val="en-US"/>
        </w:rPr>
        <w:t>R</w:t>
      </w:r>
      <w:r w:rsidR="00032D13" w:rsidRPr="00032D13">
        <w:rPr>
          <w:rFonts w:asciiTheme="majorBidi" w:hAnsiTheme="majorBidi" w:cstheme="majorBidi"/>
          <w:vertAlign w:val="subscript"/>
          <w:lang w:val="en-US"/>
        </w:rPr>
        <w:t>P</w:t>
      </w:r>
      <w:r w:rsidR="00032D13" w:rsidRPr="00032D13">
        <w:rPr>
          <w:rFonts w:asciiTheme="majorBidi" w:hAnsiTheme="majorBidi" w:cstheme="majorBidi"/>
          <w:lang w:val="en-US"/>
        </w:rPr>
        <w:t>) in Icelandic, No</w:t>
      </w:r>
      <w:r w:rsidR="00032D13">
        <w:rPr>
          <w:rFonts w:asciiTheme="majorBidi" w:hAnsiTheme="majorBidi" w:cstheme="majorBidi"/>
          <w:lang w:val="en-US"/>
        </w:rPr>
        <w:t>rwegian and Swedish populations</w:t>
      </w:r>
      <w:r w:rsidR="00BC6075" w:rsidRPr="00EB4D7C">
        <w:rPr>
          <w:rFonts w:asciiTheme="majorBidi" w:hAnsiTheme="majorBidi" w:cstheme="majorBidi"/>
          <w:lang w:val="en-US"/>
        </w:rPr>
        <w:t xml:space="preserve">. The plus sign and blue dots indicate mean value and the range of data, respectively. Dots plotted outside of whisker line are considered outliers. The lower and upper bound for each box represent 1st and 3rd quartile, respectively. </w:t>
      </w:r>
    </w:p>
    <w:p w:rsidR="00BC6075" w:rsidRPr="00EB4D7C" w:rsidRDefault="00BC6075" w:rsidP="00BC6075">
      <w:pPr>
        <w:widowControl w:val="0"/>
        <w:autoSpaceDE w:val="0"/>
        <w:autoSpaceDN w:val="0"/>
        <w:adjustRightInd w:val="0"/>
        <w:spacing w:line="360" w:lineRule="auto"/>
        <w:rPr>
          <w:rFonts w:asciiTheme="majorBidi" w:hAnsiTheme="majorBidi" w:cstheme="majorBidi"/>
          <w:lang w:val="en-US"/>
        </w:rPr>
      </w:pPr>
    </w:p>
    <w:p w:rsidR="00BC6075" w:rsidRPr="00EB4D7C" w:rsidRDefault="00BC6075" w:rsidP="00BC6075">
      <w:pPr>
        <w:widowControl w:val="0"/>
        <w:autoSpaceDE w:val="0"/>
        <w:autoSpaceDN w:val="0"/>
        <w:adjustRightInd w:val="0"/>
        <w:spacing w:line="360" w:lineRule="auto"/>
        <w:rPr>
          <w:rFonts w:asciiTheme="majorBidi" w:hAnsiTheme="majorBidi" w:cstheme="majorBidi"/>
          <w:lang w:val="en-US"/>
        </w:rPr>
      </w:pPr>
      <w:r w:rsidRPr="00EB4D7C">
        <w:rPr>
          <w:noProof/>
          <w:lang w:val="en-US" w:eastAsia="en-US"/>
        </w:rPr>
        <w:drawing>
          <wp:inline distT="0" distB="0" distL="0" distR="0" wp14:anchorId="3EE6E6A9" wp14:editId="3B2BB29E">
            <wp:extent cx="5732145" cy="45787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4578726"/>
                    </a:xfrm>
                    <a:prstGeom prst="rect">
                      <a:avLst/>
                    </a:prstGeom>
                    <a:noFill/>
                    <a:ln>
                      <a:noFill/>
                    </a:ln>
                  </pic:spPr>
                </pic:pic>
              </a:graphicData>
            </a:graphic>
          </wp:inline>
        </w:drawing>
      </w:r>
    </w:p>
    <w:p w:rsidR="00BC6075" w:rsidRPr="00EB4D7C" w:rsidRDefault="00BC6075" w:rsidP="00BC6075">
      <w:pPr>
        <w:widowControl w:val="0"/>
        <w:autoSpaceDE w:val="0"/>
        <w:autoSpaceDN w:val="0"/>
        <w:adjustRightInd w:val="0"/>
        <w:spacing w:line="360" w:lineRule="auto"/>
        <w:rPr>
          <w:rFonts w:asciiTheme="majorBidi" w:hAnsiTheme="majorBidi" w:cstheme="majorBidi"/>
        </w:rPr>
      </w:pPr>
    </w:p>
    <w:p w:rsidR="007C4C7C" w:rsidRDefault="00BC6075" w:rsidP="00032D13">
      <w:pPr>
        <w:widowControl w:val="0"/>
        <w:autoSpaceDE w:val="0"/>
        <w:autoSpaceDN w:val="0"/>
        <w:adjustRightInd w:val="0"/>
        <w:spacing w:line="480" w:lineRule="auto"/>
        <w:rPr>
          <w:lang w:val="en-US"/>
        </w:rPr>
      </w:pPr>
      <w:r>
        <w:rPr>
          <w:rFonts w:asciiTheme="majorBidi" w:hAnsiTheme="majorBidi" w:cstheme="majorBidi"/>
          <w:b/>
          <w:bCs/>
          <w:lang w:val="en-US" w:eastAsia="en-US"/>
        </w:rPr>
        <w:br w:type="page"/>
      </w:r>
      <w:r w:rsidR="00032D13">
        <w:rPr>
          <w:rFonts w:asciiTheme="majorBidi" w:hAnsiTheme="majorBidi" w:cstheme="majorBidi"/>
          <w:lang w:val="en-GB"/>
        </w:rPr>
        <w:lastRenderedPageBreak/>
        <w:t xml:space="preserve"> </w:t>
      </w:r>
      <w:r w:rsidR="009B2906">
        <w:rPr>
          <w:rFonts w:asciiTheme="majorBidi" w:hAnsiTheme="majorBidi" w:cstheme="majorBidi"/>
          <w:lang w:val="en-GB"/>
        </w:rPr>
        <w:t>Figure</w:t>
      </w:r>
      <w:r w:rsidR="007C4C7C">
        <w:rPr>
          <w:rFonts w:asciiTheme="majorBidi" w:hAnsiTheme="majorBidi" w:cstheme="majorBidi"/>
          <w:lang w:val="en-GB"/>
        </w:rPr>
        <w:t xml:space="preserve"> </w:t>
      </w:r>
      <w:r w:rsidR="009B2906">
        <w:rPr>
          <w:rFonts w:asciiTheme="majorBidi" w:hAnsiTheme="majorBidi" w:cstheme="majorBidi"/>
          <w:lang w:val="en-GB"/>
        </w:rPr>
        <w:t>S2</w:t>
      </w:r>
      <w:r w:rsidR="007C4C7C">
        <w:rPr>
          <w:rFonts w:asciiTheme="majorBidi" w:hAnsiTheme="majorBidi" w:cstheme="majorBidi"/>
          <w:lang w:val="en-GB"/>
        </w:rPr>
        <w:t>-</w:t>
      </w:r>
      <w:r w:rsidR="007C4C7C" w:rsidRPr="00EB4D7C">
        <w:rPr>
          <w:rFonts w:asciiTheme="majorBidi" w:hAnsiTheme="majorBidi" w:cstheme="majorBidi"/>
          <w:lang w:val="en-GB"/>
        </w:rPr>
        <w:t xml:space="preserve"> </w:t>
      </w:r>
      <w:bookmarkStart w:id="4" w:name="OLE_LINK110"/>
      <w:bookmarkStart w:id="5" w:name="OLE_LINK111"/>
      <w:r w:rsidR="007C4C7C" w:rsidRPr="00CB23A6">
        <w:rPr>
          <w:lang w:val="en-US"/>
        </w:rPr>
        <w:t xml:space="preserve">Genetic structure of Icelandic populations of </w:t>
      </w:r>
      <w:r w:rsidR="007C4C7C" w:rsidRPr="00CB23A6">
        <w:rPr>
          <w:i/>
          <w:iCs/>
          <w:lang w:val="en-US"/>
        </w:rPr>
        <w:t xml:space="preserve">Arabidopsis </w:t>
      </w:r>
      <w:proofErr w:type="spellStart"/>
      <w:r w:rsidR="007C4C7C" w:rsidRPr="00CB23A6">
        <w:rPr>
          <w:i/>
          <w:iCs/>
          <w:lang w:val="en-US"/>
        </w:rPr>
        <w:t>lyrata</w:t>
      </w:r>
      <w:proofErr w:type="spellEnd"/>
      <w:r w:rsidR="007C4C7C" w:rsidRPr="00CB23A6">
        <w:rPr>
          <w:lang w:val="en-US"/>
        </w:rPr>
        <w:t xml:space="preserve"> detected by Structure</w:t>
      </w:r>
      <w:bookmarkEnd w:id="4"/>
      <w:bookmarkEnd w:id="5"/>
      <w:r w:rsidR="007C4C7C">
        <w:rPr>
          <w:lang w:val="en-US"/>
        </w:rPr>
        <w:t>, with optimal number of clusters determined by the highest peak for</w:t>
      </w:r>
      <w:r w:rsidR="007C4C7C" w:rsidRPr="00CB23A6">
        <w:rPr>
          <w:lang w:val="en-US"/>
        </w:rPr>
        <w:t xml:space="preserve"> </w:t>
      </w:r>
      <w:r w:rsidR="007C4C7C">
        <w:rPr>
          <w:lang w:val="en-US"/>
        </w:rPr>
        <w:t xml:space="preserve">mean ln </w:t>
      </w:r>
      <w:proofErr w:type="gramStart"/>
      <w:r w:rsidR="007C4C7C">
        <w:rPr>
          <w:lang w:val="en-US"/>
        </w:rPr>
        <w:t>P(</w:t>
      </w:r>
      <w:proofErr w:type="gramEnd"/>
      <w:r w:rsidR="007C4C7C">
        <w:rPr>
          <w:lang w:val="en-US"/>
        </w:rPr>
        <w:t xml:space="preserve">D). </w:t>
      </w:r>
      <w:r w:rsidR="007C4C7C" w:rsidRPr="00CB23A6">
        <w:rPr>
          <w:lang w:val="en-US"/>
        </w:rPr>
        <w:t>a) Each pie represents membership coefficients of each population to the inferred cluster (</w:t>
      </w:r>
      <w:r w:rsidR="007C4C7C" w:rsidRPr="00CB23A6">
        <w:rPr>
          <w:i/>
          <w:iCs/>
          <w:lang w:val="en-US"/>
        </w:rPr>
        <w:t xml:space="preserve">K </w:t>
      </w:r>
      <w:r w:rsidR="007C4C7C" w:rsidRPr="00CB23A6">
        <w:rPr>
          <w:lang w:val="en-US"/>
        </w:rPr>
        <w:t xml:space="preserve">= </w:t>
      </w:r>
      <w:r w:rsidR="007C4C7C">
        <w:rPr>
          <w:lang w:val="en-US"/>
        </w:rPr>
        <w:t>7</w:t>
      </w:r>
      <w:r w:rsidR="007C4C7C" w:rsidRPr="00CB23A6">
        <w:rPr>
          <w:lang w:val="en-US"/>
        </w:rPr>
        <w:t>). b) Membership coefficients of individuals to the inferred clusters. Solid vert</w:t>
      </w:r>
      <w:r w:rsidR="007C4C7C">
        <w:rPr>
          <w:lang w:val="en-US"/>
        </w:rPr>
        <w:t>ical lines separate populations</w:t>
      </w:r>
      <w:r w:rsidR="007C4C7C" w:rsidRPr="00CB23A6">
        <w:rPr>
          <w:lang w:val="en-US"/>
        </w:rPr>
        <w:t>.</w:t>
      </w:r>
      <w:r w:rsidR="007C4C7C">
        <w:rPr>
          <w:lang w:val="en-US"/>
        </w:rPr>
        <w:t xml:space="preserve"> </w:t>
      </w:r>
      <w:r w:rsidR="007C4C7C">
        <w:rPr>
          <w:noProof/>
          <w:lang w:val="en-US" w:eastAsia="en-US"/>
        </w:rPr>
        <w:drawing>
          <wp:inline distT="0" distB="0" distL="0" distR="0" wp14:anchorId="5B0F3B38" wp14:editId="725FC5C2">
            <wp:extent cx="4927002" cy="3694023"/>
            <wp:effectExtent l="0" t="0" r="698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land K7 p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25558" cy="3692940"/>
                    </a:xfrm>
                    <a:prstGeom prst="rect">
                      <a:avLst/>
                    </a:prstGeom>
                  </pic:spPr>
                </pic:pic>
              </a:graphicData>
            </a:graphic>
          </wp:inline>
        </w:drawing>
      </w:r>
    </w:p>
    <w:p w:rsidR="007C4C7C" w:rsidRPr="00EB4D7C" w:rsidRDefault="007C4C7C" w:rsidP="007C4C7C">
      <w:pPr>
        <w:widowControl w:val="0"/>
        <w:autoSpaceDE w:val="0"/>
        <w:autoSpaceDN w:val="0"/>
        <w:adjustRightInd w:val="0"/>
        <w:spacing w:line="480" w:lineRule="auto"/>
        <w:rPr>
          <w:rFonts w:asciiTheme="majorBidi" w:hAnsiTheme="majorBidi" w:cstheme="majorBidi"/>
        </w:rPr>
      </w:pPr>
      <w:r>
        <w:rPr>
          <w:rFonts w:asciiTheme="majorBidi" w:hAnsiTheme="majorBidi" w:cstheme="majorBidi"/>
          <w:noProof/>
          <w:lang w:val="en-US" w:eastAsia="en-US"/>
        </w:rPr>
        <w:drawing>
          <wp:inline distT="0" distB="0" distL="0" distR="0" wp14:anchorId="14A5FF7B" wp14:editId="3F46DCE9">
            <wp:extent cx="4716379" cy="3006001"/>
            <wp:effectExtent l="0" t="0" r="8255" b="4445"/>
            <wp:docPr id="2" name="Picture 2" descr="M:\Projects\AL_Iceland\Structure\AL_Ice_293_17loci_for ms\Clumpp248\Iceland K7 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jects\AL_Iceland\Structure\AL_Ice_293_17loci_for ms\Clumpp248\Iceland K7 i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6099" cy="3005823"/>
                    </a:xfrm>
                    <a:prstGeom prst="rect">
                      <a:avLst/>
                    </a:prstGeom>
                    <a:noFill/>
                    <a:ln>
                      <a:noFill/>
                    </a:ln>
                  </pic:spPr>
                </pic:pic>
              </a:graphicData>
            </a:graphic>
          </wp:inline>
        </w:drawing>
      </w:r>
    </w:p>
    <w:p w:rsidR="00BC6075" w:rsidRDefault="00BC6075">
      <w:pPr>
        <w:spacing w:after="200" w:line="276" w:lineRule="auto"/>
        <w:rPr>
          <w:rFonts w:asciiTheme="majorBidi" w:hAnsiTheme="majorBidi" w:cstheme="majorBidi"/>
          <w:b/>
          <w:bCs/>
          <w:lang w:val="en-US" w:eastAsia="en-US"/>
        </w:rPr>
      </w:pPr>
    </w:p>
    <w:p w:rsidR="006A5AFB" w:rsidRDefault="009B2906" w:rsidP="00032D13">
      <w:pPr>
        <w:widowControl w:val="0"/>
        <w:autoSpaceDE w:val="0"/>
        <w:autoSpaceDN w:val="0"/>
        <w:adjustRightInd w:val="0"/>
        <w:spacing w:line="480" w:lineRule="auto"/>
        <w:rPr>
          <w:rFonts w:asciiTheme="majorBidi" w:hAnsiTheme="majorBidi" w:cstheme="majorBidi"/>
          <w:lang w:val="en-GB"/>
        </w:rPr>
      </w:pPr>
      <w:bookmarkStart w:id="6" w:name="_GoBack"/>
      <w:bookmarkEnd w:id="6"/>
      <w:r>
        <w:rPr>
          <w:rFonts w:asciiTheme="majorBidi" w:hAnsiTheme="majorBidi" w:cstheme="majorBidi"/>
          <w:lang w:val="en-GB"/>
        </w:rPr>
        <w:t>Figure S3</w:t>
      </w:r>
      <w:r w:rsidR="006A5AFB">
        <w:rPr>
          <w:rFonts w:asciiTheme="majorBidi" w:hAnsiTheme="majorBidi" w:cstheme="majorBidi"/>
          <w:lang w:val="en-GB"/>
        </w:rPr>
        <w:t xml:space="preserve">- </w:t>
      </w:r>
      <w:r w:rsidR="00032D13" w:rsidRPr="00032D13">
        <w:rPr>
          <w:rFonts w:asciiTheme="majorBidi" w:hAnsiTheme="majorBidi" w:cstheme="majorBidi"/>
          <w:lang w:val="en-GB"/>
        </w:rPr>
        <w:t>Probability of assignment of individuals to their respective population for different regions.</w:t>
      </w:r>
      <w:r w:rsidR="006A5AFB">
        <w:rPr>
          <w:rFonts w:asciiTheme="majorBidi" w:hAnsiTheme="majorBidi" w:cstheme="majorBidi"/>
          <w:lang w:val="en-GB"/>
        </w:rPr>
        <w:t xml:space="preserve"> The frequency of each probability class represents the number of individuals which are assigned to that class based on GeneClass2.</w:t>
      </w:r>
    </w:p>
    <w:p w:rsidR="006A5AFB" w:rsidRDefault="006A5AFB" w:rsidP="006A5AFB">
      <w:pPr>
        <w:widowControl w:val="0"/>
        <w:autoSpaceDE w:val="0"/>
        <w:autoSpaceDN w:val="0"/>
        <w:adjustRightInd w:val="0"/>
        <w:spacing w:line="480" w:lineRule="auto"/>
        <w:rPr>
          <w:rFonts w:asciiTheme="majorBidi" w:hAnsiTheme="majorBidi" w:cstheme="majorBidi"/>
          <w:lang w:val="en-GB"/>
        </w:rPr>
      </w:pPr>
      <w:r>
        <w:rPr>
          <w:rFonts w:asciiTheme="majorBidi" w:hAnsiTheme="majorBidi" w:cstheme="majorBidi"/>
          <w:noProof/>
          <w:lang w:val="en-US" w:eastAsia="en-US"/>
        </w:rPr>
        <w:drawing>
          <wp:inline distT="0" distB="0" distL="0" distR="0">
            <wp:extent cx="4894580" cy="2517140"/>
            <wp:effectExtent l="0" t="0" r="127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heme="majorBidi" w:hAnsiTheme="majorBidi" w:cstheme="majorBidi"/>
          <w:lang w:val="en-GB"/>
        </w:rPr>
        <w:t xml:space="preserve"> </w:t>
      </w:r>
    </w:p>
    <w:p w:rsidR="006A5AFB" w:rsidRDefault="006A5AFB" w:rsidP="006A5AFB">
      <w:pPr>
        <w:spacing w:after="200" w:line="276" w:lineRule="auto"/>
        <w:rPr>
          <w:rFonts w:asciiTheme="majorBidi" w:hAnsiTheme="majorBidi" w:cstheme="majorBidi"/>
          <w:lang w:val="en-US"/>
        </w:rPr>
      </w:pPr>
    </w:p>
    <w:p w:rsidR="00BC6075" w:rsidRDefault="00BC6075">
      <w:pPr>
        <w:spacing w:after="200" w:line="276" w:lineRule="auto"/>
        <w:rPr>
          <w:rFonts w:asciiTheme="majorBidi" w:hAnsiTheme="majorBidi" w:cstheme="majorBidi"/>
          <w:b/>
          <w:bCs/>
          <w:lang w:val="en-US" w:eastAsia="en-US"/>
        </w:rPr>
      </w:pPr>
    </w:p>
    <w:p w:rsidR="00E5246D" w:rsidRPr="00C43012" w:rsidRDefault="00E5246D" w:rsidP="00E5246D">
      <w:pPr>
        <w:ind w:left="720" w:hanging="720"/>
        <w:jc w:val="center"/>
        <w:rPr>
          <w:rFonts w:asciiTheme="majorBidi" w:hAnsiTheme="majorBidi" w:cstheme="majorBidi"/>
          <w:b/>
          <w:bCs/>
          <w:lang w:val="en-US" w:eastAsia="en-US"/>
        </w:rPr>
      </w:pPr>
    </w:p>
    <w:p w:rsidR="00E5246D" w:rsidRPr="00C43012" w:rsidRDefault="00E5246D" w:rsidP="00E5246D">
      <w:pPr>
        <w:ind w:left="720" w:hanging="720"/>
        <w:jc w:val="center"/>
        <w:rPr>
          <w:rFonts w:asciiTheme="majorBidi" w:hAnsiTheme="majorBidi" w:cstheme="majorBidi"/>
          <w:b/>
          <w:bCs/>
          <w:lang w:val="en-US" w:eastAsia="en-US"/>
        </w:rPr>
      </w:pPr>
      <w:r w:rsidRPr="00C43012">
        <w:rPr>
          <w:rFonts w:asciiTheme="majorBidi" w:hAnsiTheme="majorBidi" w:cstheme="majorBidi"/>
          <w:b/>
          <w:bCs/>
          <w:lang w:val="en-US" w:eastAsia="en-US"/>
        </w:rPr>
        <w:t>LITERATURE CITED</w:t>
      </w:r>
    </w:p>
    <w:p w:rsidR="00E5246D" w:rsidRPr="00C43012" w:rsidRDefault="00E5246D" w:rsidP="00E5246D">
      <w:pPr>
        <w:rPr>
          <w:noProof/>
          <w:lang w:val="en-US"/>
        </w:rPr>
      </w:pPr>
      <w:r>
        <w:rPr>
          <w:rFonts w:asciiTheme="majorBidi" w:hAnsiTheme="majorBidi" w:cstheme="majorBidi"/>
        </w:rPr>
        <w:fldChar w:fldCharType="begin"/>
      </w:r>
      <w:r w:rsidRPr="00C43012">
        <w:rPr>
          <w:rFonts w:asciiTheme="majorBidi" w:hAnsiTheme="majorBidi" w:cstheme="majorBidi"/>
          <w:lang w:val="en-US"/>
        </w:rPr>
        <w:instrText xml:space="preserve"> ADDIN EN.REFLIST </w:instrText>
      </w:r>
      <w:r>
        <w:rPr>
          <w:rFonts w:asciiTheme="majorBidi" w:hAnsiTheme="majorBidi" w:cstheme="majorBidi"/>
        </w:rPr>
        <w:fldChar w:fldCharType="separate"/>
      </w:r>
      <w:bookmarkStart w:id="7" w:name="_ENREF_1"/>
      <w:r w:rsidRPr="00C43012">
        <w:rPr>
          <w:noProof/>
          <w:lang w:val="en-US"/>
        </w:rPr>
        <w:t>B</w:t>
      </w:r>
      <w:r w:rsidRPr="00C43012">
        <w:rPr>
          <w:smallCaps/>
          <w:noProof/>
          <w:lang w:val="en-US"/>
        </w:rPr>
        <w:t xml:space="preserve">ell, </w:t>
      </w:r>
      <w:r w:rsidRPr="00C43012">
        <w:rPr>
          <w:noProof/>
          <w:lang w:val="en-US"/>
        </w:rPr>
        <w:t>C. J., and J. R. E</w:t>
      </w:r>
      <w:r w:rsidRPr="00C43012">
        <w:rPr>
          <w:smallCaps/>
          <w:noProof/>
          <w:lang w:val="en-US"/>
        </w:rPr>
        <w:t>cker</w:t>
      </w:r>
      <w:r w:rsidRPr="00C43012">
        <w:rPr>
          <w:noProof/>
          <w:lang w:val="en-US"/>
        </w:rPr>
        <w:t xml:space="preserve">. 1994. Assignment of 30 microsatellite loci to the linkage map of </w:t>
      </w:r>
      <w:r w:rsidRPr="00C43012">
        <w:rPr>
          <w:i/>
          <w:noProof/>
          <w:lang w:val="en-US"/>
        </w:rPr>
        <w:t>Arabidopsis</w:t>
      </w:r>
      <w:r w:rsidRPr="00C43012">
        <w:rPr>
          <w:noProof/>
          <w:lang w:val="en-US"/>
        </w:rPr>
        <w:t xml:space="preserve">. </w:t>
      </w:r>
      <w:r w:rsidRPr="00C43012">
        <w:rPr>
          <w:i/>
          <w:noProof/>
          <w:lang w:val="en-US"/>
        </w:rPr>
        <w:t>Genomics</w:t>
      </w:r>
      <w:r w:rsidRPr="00C43012">
        <w:rPr>
          <w:noProof/>
          <w:lang w:val="en-US"/>
        </w:rPr>
        <w:t xml:space="preserve"> 19: 137-144.</w:t>
      </w:r>
      <w:bookmarkEnd w:id="7"/>
    </w:p>
    <w:p w:rsidR="00E5246D" w:rsidRPr="00C43012" w:rsidRDefault="00E5246D" w:rsidP="00E5246D">
      <w:pPr>
        <w:ind w:left="720" w:hanging="720"/>
        <w:rPr>
          <w:noProof/>
          <w:lang w:val="en-US"/>
        </w:rPr>
      </w:pPr>
      <w:bookmarkStart w:id="8" w:name="_ENREF_2"/>
      <w:r w:rsidRPr="00C43012">
        <w:rPr>
          <w:noProof/>
          <w:lang w:val="en-US"/>
        </w:rPr>
        <w:t>C</w:t>
      </w:r>
      <w:r w:rsidRPr="00C43012">
        <w:rPr>
          <w:smallCaps/>
          <w:noProof/>
          <w:lang w:val="en-US"/>
        </w:rPr>
        <w:t xml:space="preserve">lauss, </w:t>
      </w:r>
      <w:r w:rsidRPr="00C43012">
        <w:rPr>
          <w:noProof/>
          <w:lang w:val="en-US"/>
        </w:rPr>
        <w:t>M. J., H. C</w:t>
      </w:r>
      <w:r w:rsidRPr="00C43012">
        <w:rPr>
          <w:smallCaps/>
          <w:noProof/>
          <w:lang w:val="en-US"/>
        </w:rPr>
        <w:t>obban</w:t>
      </w:r>
      <w:r w:rsidRPr="00C43012">
        <w:rPr>
          <w:noProof/>
          <w:lang w:val="en-US"/>
        </w:rPr>
        <w:t>, and T. M</w:t>
      </w:r>
      <w:r w:rsidRPr="00C43012">
        <w:rPr>
          <w:smallCaps/>
          <w:noProof/>
          <w:lang w:val="en-US"/>
        </w:rPr>
        <w:t>itchell-</w:t>
      </w:r>
      <w:r w:rsidRPr="00C43012">
        <w:rPr>
          <w:noProof/>
          <w:lang w:val="en-US"/>
        </w:rPr>
        <w:t>O</w:t>
      </w:r>
      <w:r w:rsidRPr="00C43012">
        <w:rPr>
          <w:smallCaps/>
          <w:noProof/>
          <w:lang w:val="en-US"/>
        </w:rPr>
        <w:t>lds</w:t>
      </w:r>
      <w:r w:rsidRPr="00C43012">
        <w:rPr>
          <w:noProof/>
          <w:lang w:val="en-US"/>
        </w:rPr>
        <w:t xml:space="preserve">. 2002. Cross-species microsatellite markers for elucidating population genetic structure in Arabidopsis and Arabis (Brassicaeae). </w:t>
      </w:r>
      <w:r w:rsidRPr="00C43012">
        <w:rPr>
          <w:i/>
          <w:noProof/>
          <w:lang w:val="en-US"/>
        </w:rPr>
        <w:t>Molecular Ecology</w:t>
      </w:r>
      <w:r w:rsidRPr="00C43012">
        <w:rPr>
          <w:noProof/>
          <w:lang w:val="en-US"/>
        </w:rPr>
        <w:t xml:space="preserve"> 11: 591-601.</w:t>
      </w:r>
      <w:bookmarkEnd w:id="8"/>
    </w:p>
    <w:p w:rsidR="00E5246D" w:rsidRPr="00C43012" w:rsidRDefault="00E5246D" w:rsidP="00E5246D">
      <w:pPr>
        <w:ind w:left="720" w:hanging="720"/>
        <w:rPr>
          <w:noProof/>
          <w:lang w:val="en-US"/>
        </w:rPr>
      </w:pPr>
      <w:bookmarkStart w:id="9" w:name="_ENREF_3"/>
      <w:r w:rsidRPr="00C43012">
        <w:rPr>
          <w:noProof/>
          <w:lang w:val="en-US"/>
        </w:rPr>
        <w:t>K</w:t>
      </w:r>
      <w:r w:rsidRPr="00C43012">
        <w:rPr>
          <w:smallCaps/>
          <w:noProof/>
          <w:lang w:val="en-US"/>
        </w:rPr>
        <w:t xml:space="preserve">uittinen, </w:t>
      </w:r>
      <w:r w:rsidRPr="00C43012">
        <w:rPr>
          <w:noProof/>
          <w:lang w:val="en-US"/>
        </w:rPr>
        <w:t xml:space="preserve">H., A. A. </w:t>
      </w:r>
      <w:r w:rsidRPr="00C43012">
        <w:rPr>
          <w:smallCaps/>
          <w:noProof/>
          <w:lang w:val="en-US"/>
        </w:rPr>
        <w:t xml:space="preserve">de </w:t>
      </w:r>
      <w:r w:rsidRPr="00C43012">
        <w:rPr>
          <w:noProof/>
          <w:lang w:val="en-US"/>
        </w:rPr>
        <w:t>H</w:t>
      </w:r>
      <w:r w:rsidRPr="00C43012">
        <w:rPr>
          <w:smallCaps/>
          <w:noProof/>
          <w:lang w:val="en-US"/>
        </w:rPr>
        <w:t>aan</w:t>
      </w:r>
      <w:r w:rsidRPr="00C43012">
        <w:rPr>
          <w:noProof/>
          <w:lang w:val="en-US"/>
        </w:rPr>
        <w:t>, C. V</w:t>
      </w:r>
      <w:r w:rsidRPr="00C43012">
        <w:rPr>
          <w:smallCaps/>
          <w:noProof/>
          <w:lang w:val="en-US"/>
        </w:rPr>
        <w:t>ogl</w:t>
      </w:r>
      <w:r w:rsidRPr="00C43012">
        <w:rPr>
          <w:noProof/>
          <w:lang w:val="en-US"/>
        </w:rPr>
        <w:t>, S. O</w:t>
      </w:r>
      <w:r w:rsidRPr="00C43012">
        <w:rPr>
          <w:smallCaps/>
          <w:noProof/>
          <w:lang w:val="en-US"/>
        </w:rPr>
        <w:t>ikarinen</w:t>
      </w:r>
      <w:r w:rsidRPr="00C43012">
        <w:rPr>
          <w:noProof/>
          <w:lang w:val="en-US"/>
        </w:rPr>
        <w:t>, J. L</w:t>
      </w:r>
      <w:r w:rsidRPr="00C43012">
        <w:rPr>
          <w:smallCaps/>
          <w:noProof/>
          <w:lang w:val="en-US"/>
        </w:rPr>
        <w:t>eppälä</w:t>
      </w:r>
      <w:r w:rsidRPr="00C43012">
        <w:rPr>
          <w:noProof/>
          <w:lang w:val="en-US"/>
        </w:rPr>
        <w:t>, M. K</w:t>
      </w:r>
      <w:r w:rsidRPr="00C43012">
        <w:rPr>
          <w:smallCaps/>
          <w:noProof/>
          <w:lang w:val="en-US"/>
        </w:rPr>
        <w:t>och</w:t>
      </w:r>
      <w:r w:rsidRPr="00C43012">
        <w:rPr>
          <w:noProof/>
          <w:lang w:val="en-US"/>
        </w:rPr>
        <w:t>, T. M</w:t>
      </w:r>
      <w:r w:rsidRPr="00C43012">
        <w:rPr>
          <w:smallCaps/>
          <w:noProof/>
          <w:lang w:val="en-US"/>
        </w:rPr>
        <w:t>itchell-</w:t>
      </w:r>
      <w:r w:rsidRPr="00C43012">
        <w:rPr>
          <w:noProof/>
          <w:lang w:val="en-US"/>
        </w:rPr>
        <w:t>O</w:t>
      </w:r>
      <w:r w:rsidRPr="00C43012">
        <w:rPr>
          <w:smallCaps/>
          <w:noProof/>
          <w:lang w:val="en-US"/>
        </w:rPr>
        <w:t>lds</w:t>
      </w:r>
      <w:r w:rsidRPr="00C43012">
        <w:rPr>
          <w:noProof/>
          <w:lang w:val="en-US"/>
        </w:rPr>
        <w:t xml:space="preserve">, et al. 2004. Comparing the linkage maps of the close relatives </w:t>
      </w:r>
      <w:r w:rsidRPr="00C43012">
        <w:rPr>
          <w:i/>
          <w:noProof/>
          <w:lang w:val="en-US"/>
        </w:rPr>
        <w:t>Arabidopsis lyrata</w:t>
      </w:r>
      <w:r w:rsidRPr="00C43012">
        <w:rPr>
          <w:noProof/>
          <w:lang w:val="en-US"/>
        </w:rPr>
        <w:t xml:space="preserve"> and </w:t>
      </w:r>
      <w:r w:rsidRPr="00C43012">
        <w:rPr>
          <w:i/>
          <w:noProof/>
          <w:lang w:val="en-US"/>
        </w:rPr>
        <w:t>A. thaliana</w:t>
      </w:r>
      <w:r w:rsidRPr="00C43012">
        <w:rPr>
          <w:noProof/>
          <w:lang w:val="en-US"/>
        </w:rPr>
        <w:t xml:space="preserve">. </w:t>
      </w:r>
      <w:r w:rsidRPr="00C43012">
        <w:rPr>
          <w:i/>
          <w:noProof/>
          <w:lang w:val="en-US"/>
        </w:rPr>
        <w:t>Genetics</w:t>
      </w:r>
      <w:r w:rsidRPr="00C43012">
        <w:rPr>
          <w:noProof/>
          <w:lang w:val="en-US"/>
        </w:rPr>
        <w:t xml:space="preserve"> 168: 1575-1584.</w:t>
      </w:r>
      <w:bookmarkEnd w:id="9"/>
    </w:p>
    <w:p w:rsidR="00E5246D" w:rsidRPr="00E5246D" w:rsidRDefault="00E5246D" w:rsidP="00E5246D">
      <w:pPr>
        <w:ind w:left="720" w:hanging="720"/>
        <w:rPr>
          <w:noProof/>
        </w:rPr>
      </w:pPr>
      <w:bookmarkStart w:id="10" w:name="_ENREF_4"/>
      <w:r w:rsidRPr="00C43012">
        <w:rPr>
          <w:noProof/>
          <w:lang w:val="en-US"/>
        </w:rPr>
        <w:t>L</w:t>
      </w:r>
      <w:r w:rsidRPr="00C43012">
        <w:rPr>
          <w:smallCaps/>
          <w:noProof/>
          <w:lang w:val="en-US"/>
        </w:rPr>
        <w:t xml:space="preserve">oudet, </w:t>
      </w:r>
      <w:r w:rsidRPr="00C43012">
        <w:rPr>
          <w:noProof/>
          <w:lang w:val="en-US"/>
        </w:rPr>
        <w:t>O., S. C</w:t>
      </w:r>
      <w:r w:rsidRPr="00C43012">
        <w:rPr>
          <w:smallCaps/>
          <w:noProof/>
          <w:lang w:val="en-US"/>
        </w:rPr>
        <w:t>haillou</w:t>
      </w:r>
      <w:r w:rsidRPr="00C43012">
        <w:rPr>
          <w:noProof/>
          <w:lang w:val="en-US"/>
        </w:rPr>
        <w:t>, C. C</w:t>
      </w:r>
      <w:r w:rsidRPr="00C43012">
        <w:rPr>
          <w:smallCaps/>
          <w:noProof/>
          <w:lang w:val="en-US"/>
        </w:rPr>
        <w:t>amilleri</w:t>
      </w:r>
      <w:r w:rsidRPr="00C43012">
        <w:rPr>
          <w:noProof/>
          <w:lang w:val="en-US"/>
        </w:rPr>
        <w:t>, D. B</w:t>
      </w:r>
      <w:r w:rsidRPr="00C43012">
        <w:rPr>
          <w:smallCaps/>
          <w:noProof/>
          <w:lang w:val="en-US"/>
        </w:rPr>
        <w:t>ouchez</w:t>
      </w:r>
      <w:r w:rsidRPr="00C43012">
        <w:rPr>
          <w:noProof/>
          <w:lang w:val="en-US"/>
        </w:rPr>
        <w:t>, and F. D</w:t>
      </w:r>
      <w:r w:rsidRPr="00C43012">
        <w:rPr>
          <w:smallCaps/>
          <w:noProof/>
          <w:lang w:val="en-US"/>
        </w:rPr>
        <w:t>aniel-</w:t>
      </w:r>
      <w:r w:rsidRPr="00C43012">
        <w:rPr>
          <w:noProof/>
          <w:lang w:val="en-US"/>
        </w:rPr>
        <w:t>V</w:t>
      </w:r>
      <w:r w:rsidRPr="00C43012">
        <w:rPr>
          <w:smallCaps/>
          <w:noProof/>
          <w:lang w:val="en-US"/>
        </w:rPr>
        <w:t>edele</w:t>
      </w:r>
      <w:r w:rsidRPr="00C43012">
        <w:rPr>
          <w:noProof/>
          <w:lang w:val="en-US"/>
        </w:rPr>
        <w:t xml:space="preserve">. 2002. Bay-0 × Shahdara recombinant inbred line population: a powerful tool for the genetic dissection of complex traits in </w:t>
      </w:r>
      <w:r w:rsidRPr="00C43012">
        <w:rPr>
          <w:i/>
          <w:noProof/>
          <w:lang w:val="en-US"/>
        </w:rPr>
        <w:t>Arabidopsis</w:t>
      </w:r>
      <w:r w:rsidRPr="00C43012">
        <w:rPr>
          <w:noProof/>
          <w:lang w:val="en-US"/>
        </w:rPr>
        <w:t xml:space="preserve">. </w:t>
      </w:r>
      <w:r w:rsidRPr="00E5246D">
        <w:rPr>
          <w:i/>
          <w:noProof/>
        </w:rPr>
        <w:t>Theoretical and Applied Genetics</w:t>
      </w:r>
      <w:r w:rsidRPr="00E5246D">
        <w:rPr>
          <w:noProof/>
        </w:rPr>
        <w:t xml:space="preserve"> 104: 1173-1184.</w:t>
      </w:r>
      <w:bookmarkEnd w:id="10"/>
    </w:p>
    <w:p w:rsidR="00E5246D" w:rsidRDefault="00E5246D" w:rsidP="00E5246D">
      <w:pPr>
        <w:rPr>
          <w:noProof/>
        </w:rPr>
      </w:pPr>
    </w:p>
    <w:p w:rsidR="00EB4D7C" w:rsidRPr="00EB4D7C" w:rsidRDefault="00E5246D" w:rsidP="001B2721">
      <w:pPr>
        <w:widowControl w:val="0"/>
        <w:autoSpaceDE w:val="0"/>
        <w:autoSpaceDN w:val="0"/>
        <w:adjustRightInd w:val="0"/>
        <w:spacing w:line="360" w:lineRule="auto"/>
        <w:rPr>
          <w:rFonts w:asciiTheme="majorBidi" w:hAnsiTheme="majorBidi" w:cstheme="majorBidi"/>
        </w:rPr>
      </w:pPr>
      <w:r>
        <w:rPr>
          <w:rFonts w:asciiTheme="majorBidi" w:hAnsiTheme="majorBidi" w:cstheme="majorBidi"/>
        </w:rPr>
        <w:fldChar w:fldCharType="end"/>
      </w:r>
    </w:p>
    <w:sectPr w:rsidR="00EB4D7C" w:rsidRPr="00EB4D7C" w:rsidSect="00480495">
      <w:footerReference w:type="even" r:id="rId12"/>
      <w:footerReference w:type="default" r:id="rId13"/>
      <w:pgSz w:w="11907" w:h="16840" w:code="9"/>
      <w:pgMar w:top="1440" w:right="1440" w:bottom="1440" w:left="1440" w:header="0" w:footer="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6AF" w:rsidRDefault="003806AF">
      <w:r>
        <w:separator/>
      </w:r>
    </w:p>
  </w:endnote>
  <w:endnote w:type="continuationSeparator" w:id="0">
    <w:p w:rsidR="003806AF" w:rsidRDefault="0038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18" w:rsidRDefault="00944018" w:rsidP="00CD2C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4018" w:rsidRDefault="00944018" w:rsidP="00CD2C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18" w:rsidRDefault="00944018" w:rsidP="00CD2C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2D13">
      <w:rPr>
        <w:rStyle w:val="PageNumber"/>
        <w:noProof/>
      </w:rPr>
      <w:t>5</w:t>
    </w:r>
    <w:r>
      <w:rPr>
        <w:rStyle w:val="PageNumber"/>
      </w:rPr>
      <w:fldChar w:fldCharType="end"/>
    </w:r>
  </w:p>
  <w:p w:rsidR="00944018" w:rsidRDefault="00944018" w:rsidP="00CD2CE7">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6AF" w:rsidRDefault="003806AF">
      <w:r>
        <w:separator/>
      </w:r>
    </w:p>
  </w:footnote>
  <w:footnote w:type="continuationSeparator" w:id="0">
    <w:p w:rsidR="003806AF" w:rsidRDefault="00380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mer J Botan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9pr9tat5xft2feaprx5zxz5drxtv2z2dt0w&quot;&gt;My EndNote Library-Saved&lt;record-ids&gt;&lt;item&gt;307&lt;/item&gt;&lt;item&gt;308&lt;/item&gt;&lt;item&gt;309&lt;/item&gt;&lt;item&gt;310&lt;/item&gt;&lt;/record-ids&gt;&lt;/item&gt;&lt;/Libraries&gt;"/>
  </w:docVars>
  <w:rsids>
    <w:rsidRoot w:val="00480495"/>
    <w:rsid w:val="0000513E"/>
    <w:rsid w:val="00032D13"/>
    <w:rsid w:val="0003372B"/>
    <w:rsid w:val="0004569A"/>
    <w:rsid w:val="0006708D"/>
    <w:rsid w:val="00075B40"/>
    <w:rsid w:val="000804AD"/>
    <w:rsid w:val="000B18A3"/>
    <w:rsid w:val="000B4E5D"/>
    <w:rsid w:val="000B5F36"/>
    <w:rsid w:val="000D25EC"/>
    <w:rsid w:val="000E080D"/>
    <w:rsid w:val="000E4DC9"/>
    <w:rsid w:val="000F31BE"/>
    <w:rsid w:val="000F60D2"/>
    <w:rsid w:val="000F60E7"/>
    <w:rsid w:val="00100719"/>
    <w:rsid w:val="00112CE8"/>
    <w:rsid w:val="001173A9"/>
    <w:rsid w:val="00122831"/>
    <w:rsid w:val="00143CE3"/>
    <w:rsid w:val="00143FF1"/>
    <w:rsid w:val="00145121"/>
    <w:rsid w:val="0015314D"/>
    <w:rsid w:val="001562E2"/>
    <w:rsid w:val="00162D2F"/>
    <w:rsid w:val="001759F4"/>
    <w:rsid w:val="00175B14"/>
    <w:rsid w:val="001A7E77"/>
    <w:rsid w:val="001B2721"/>
    <w:rsid w:val="001B39F7"/>
    <w:rsid w:val="001C07D8"/>
    <w:rsid w:val="001C4686"/>
    <w:rsid w:val="001D05AC"/>
    <w:rsid w:val="001D1234"/>
    <w:rsid w:val="001E43D6"/>
    <w:rsid w:val="001E534B"/>
    <w:rsid w:val="00214432"/>
    <w:rsid w:val="0021728F"/>
    <w:rsid w:val="00234550"/>
    <w:rsid w:val="00247D8D"/>
    <w:rsid w:val="0026379D"/>
    <w:rsid w:val="0026674A"/>
    <w:rsid w:val="002727BB"/>
    <w:rsid w:val="002848E4"/>
    <w:rsid w:val="002A67C1"/>
    <w:rsid w:val="002B670C"/>
    <w:rsid w:val="002C1A53"/>
    <w:rsid w:val="002C7D4E"/>
    <w:rsid w:val="002D69B3"/>
    <w:rsid w:val="002E23BC"/>
    <w:rsid w:val="002E2601"/>
    <w:rsid w:val="002F123E"/>
    <w:rsid w:val="002F25A5"/>
    <w:rsid w:val="002F2DDA"/>
    <w:rsid w:val="00300384"/>
    <w:rsid w:val="00307626"/>
    <w:rsid w:val="00307FF5"/>
    <w:rsid w:val="00330A77"/>
    <w:rsid w:val="00335975"/>
    <w:rsid w:val="0034340F"/>
    <w:rsid w:val="00347211"/>
    <w:rsid w:val="0036142E"/>
    <w:rsid w:val="00371482"/>
    <w:rsid w:val="003716C4"/>
    <w:rsid w:val="00373706"/>
    <w:rsid w:val="003806AF"/>
    <w:rsid w:val="00385A55"/>
    <w:rsid w:val="003A3531"/>
    <w:rsid w:val="003B3639"/>
    <w:rsid w:val="003B554F"/>
    <w:rsid w:val="003C14D2"/>
    <w:rsid w:val="003F360F"/>
    <w:rsid w:val="003F60E2"/>
    <w:rsid w:val="00405B6A"/>
    <w:rsid w:val="00407D1F"/>
    <w:rsid w:val="00415318"/>
    <w:rsid w:val="004228D3"/>
    <w:rsid w:val="00425BD6"/>
    <w:rsid w:val="00436CF4"/>
    <w:rsid w:val="00445BED"/>
    <w:rsid w:val="004529B4"/>
    <w:rsid w:val="00480495"/>
    <w:rsid w:val="00496784"/>
    <w:rsid w:val="004C1EA8"/>
    <w:rsid w:val="004E4FED"/>
    <w:rsid w:val="004F0226"/>
    <w:rsid w:val="004F0CF0"/>
    <w:rsid w:val="0050185E"/>
    <w:rsid w:val="005353DF"/>
    <w:rsid w:val="00543DFF"/>
    <w:rsid w:val="00596CA6"/>
    <w:rsid w:val="005A0353"/>
    <w:rsid w:val="005A470C"/>
    <w:rsid w:val="005D16D3"/>
    <w:rsid w:val="005E1F11"/>
    <w:rsid w:val="005E4BAF"/>
    <w:rsid w:val="005E687B"/>
    <w:rsid w:val="00605AF3"/>
    <w:rsid w:val="00636ADA"/>
    <w:rsid w:val="00640DAC"/>
    <w:rsid w:val="00643E35"/>
    <w:rsid w:val="00652CC2"/>
    <w:rsid w:val="006674E0"/>
    <w:rsid w:val="006A05EC"/>
    <w:rsid w:val="006A2ED3"/>
    <w:rsid w:val="006A5AFB"/>
    <w:rsid w:val="006C31E4"/>
    <w:rsid w:val="006C4CC9"/>
    <w:rsid w:val="006D5C33"/>
    <w:rsid w:val="006E1271"/>
    <w:rsid w:val="006E383F"/>
    <w:rsid w:val="006E4BE1"/>
    <w:rsid w:val="006F2049"/>
    <w:rsid w:val="006F7664"/>
    <w:rsid w:val="00703274"/>
    <w:rsid w:val="00715BB2"/>
    <w:rsid w:val="007236E9"/>
    <w:rsid w:val="00730731"/>
    <w:rsid w:val="00760F13"/>
    <w:rsid w:val="0076192F"/>
    <w:rsid w:val="007A15ED"/>
    <w:rsid w:val="007A6A0B"/>
    <w:rsid w:val="007A6D88"/>
    <w:rsid w:val="007C4C7C"/>
    <w:rsid w:val="007E4355"/>
    <w:rsid w:val="007E5BC8"/>
    <w:rsid w:val="008315CD"/>
    <w:rsid w:val="0083613C"/>
    <w:rsid w:val="00842E25"/>
    <w:rsid w:val="00847909"/>
    <w:rsid w:val="00850DC9"/>
    <w:rsid w:val="00870B27"/>
    <w:rsid w:val="0087529C"/>
    <w:rsid w:val="00884CC9"/>
    <w:rsid w:val="00893482"/>
    <w:rsid w:val="00896D45"/>
    <w:rsid w:val="00897608"/>
    <w:rsid w:val="008E684C"/>
    <w:rsid w:val="008F4A41"/>
    <w:rsid w:val="009007A3"/>
    <w:rsid w:val="00904557"/>
    <w:rsid w:val="009235F2"/>
    <w:rsid w:val="009272D5"/>
    <w:rsid w:val="00930B5D"/>
    <w:rsid w:val="00936604"/>
    <w:rsid w:val="00944018"/>
    <w:rsid w:val="00961F16"/>
    <w:rsid w:val="009712DC"/>
    <w:rsid w:val="00992B57"/>
    <w:rsid w:val="009940A6"/>
    <w:rsid w:val="009A1EB3"/>
    <w:rsid w:val="009A7FC5"/>
    <w:rsid w:val="009B2906"/>
    <w:rsid w:val="009C55F8"/>
    <w:rsid w:val="009E1B25"/>
    <w:rsid w:val="009E3E4D"/>
    <w:rsid w:val="009E3E7E"/>
    <w:rsid w:val="009F0B61"/>
    <w:rsid w:val="009F2E38"/>
    <w:rsid w:val="009F462C"/>
    <w:rsid w:val="00A00BAD"/>
    <w:rsid w:val="00A01E9C"/>
    <w:rsid w:val="00A02680"/>
    <w:rsid w:val="00A348EB"/>
    <w:rsid w:val="00A64FCC"/>
    <w:rsid w:val="00A70004"/>
    <w:rsid w:val="00A74072"/>
    <w:rsid w:val="00A8726B"/>
    <w:rsid w:val="00AA6503"/>
    <w:rsid w:val="00AB21B1"/>
    <w:rsid w:val="00AB6819"/>
    <w:rsid w:val="00AD7728"/>
    <w:rsid w:val="00AF2623"/>
    <w:rsid w:val="00B07F58"/>
    <w:rsid w:val="00B1646F"/>
    <w:rsid w:val="00B16ADD"/>
    <w:rsid w:val="00B307D6"/>
    <w:rsid w:val="00B31F18"/>
    <w:rsid w:val="00B40133"/>
    <w:rsid w:val="00B436FA"/>
    <w:rsid w:val="00B45E10"/>
    <w:rsid w:val="00B60667"/>
    <w:rsid w:val="00BA348A"/>
    <w:rsid w:val="00BA43DB"/>
    <w:rsid w:val="00BB5CC8"/>
    <w:rsid w:val="00BC6075"/>
    <w:rsid w:val="00BE1358"/>
    <w:rsid w:val="00BE2B31"/>
    <w:rsid w:val="00BF0D7C"/>
    <w:rsid w:val="00C003F8"/>
    <w:rsid w:val="00C00CC2"/>
    <w:rsid w:val="00C15C52"/>
    <w:rsid w:val="00C43012"/>
    <w:rsid w:val="00C552F9"/>
    <w:rsid w:val="00C6274E"/>
    <w:rsid w:val="00C64ABD"/>
    <w:rsid w:val="00CA1E13"/>
    <w:rsid w:val="00CC5AD8"/>
    <w:rsid w:val="00CD2CE7"/>
    <w:rsid w:val="00CE29BC"/>
    <w:rsid w:val="00D049B4"/>
    <w:rsid w:val="00D137C1"/>
    <w:rsid w:val="00D210A6"/>
    <w:rsid w:val="00D21193"/>
    <w:rsid w:val="00D25D66"/>
    <w:rsid w:val="00D34625"/>
    <w:rsid w:val="00D40F30"/>
    <w:rsid w:val="00D55B48"/>
    <w:rsid w:val="00D63D31"/>
    <w:rsid w:val="00D67A16"/>
    <w:rsid w:val="00D77EC3"/>
    <w:rsid w:val="00D866C8"/>
    <w:rsid w:val="00DA129F"/>
    <w:rsid w:val="00DA532D"/>
    <w:rsid w:val="00DC07B4"/>
    <w:rsid w:val="00DD5F49"/>
    <w:rsid w:val="00DE1EA9"/>
    <w:rsid w:val="00DF4D13"/>
    <w:rsid w:val="00E00939"/>
    <w:rsid w:val="00E04E2E"/>
    <w:rsid w:val="00E16813"/>
    <w:rsid w:val="00E16DFE"/>
    <w:rsid w:val="00E17569"/>
    <w:rsid w:val="00E5246D"/>
    <w:rsid w:val="00E5299B"/>
    <w:rsid w:val="00E60EBF"/>
    <w:rsid w:val="00E9198B"/>
    <w:rsid w:val="00E91DAF"/>
    <w:rsid w:val="00E92DBA"/>
    <w:rsid w:val="00E93385"/>
    <w:rsid w:val="00E946E9"/>
    <w:rsid w:val="00EA4230"/>
    <w:rsid w:val="00EA7862"/>
    <w:rsid w:val="00EB4D7C"/>
    <w:rsid w:val="00EB583E"/>
    <w:rsid w:val="00EB7C7E"/>
    <w:rsid w:val="00EC661E"/>
    <w:rsid w:val="00ED4573"/>
    <w:rsid w:val="00EE63DF"/>
    <w:rsid w:val="00EE6B8F"/>
    <w:rsid w:val="00EF3C6C"/>
    <w:rsid w:val="00EF44A0"/>
    <w:rsid w:val="00F014EA"/>
    <w:rsid w:val="00F04B63"/>
    <w:rsid w:val="00F07B07"/>
    <w:rsid w:val="00F1394A"/>
    <w:rsid w:val="00F24864"/>
    <w:rsid w:val="00F351DC"/>
    <w:rsid w:val="00F437EC"/>
    <w:rsid w:val="00F61C65"/>
    <w:rsid w:val="00F66811"/>
    <w:rsid w:val="00F67BB4"/>
    <w:rsid w:val="00F746DB"/>
    <w:rsid w:val="00F834BA"/>
    <w:rsid w:val="00F87172"/>
    <w:rsid w:val="00FB1CFF"/>
    <w:rsid w:val="00FD5A69"/>
    <w:rsid w:val="00FE412C"/>
    <w:rsid w:val="00FF188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95"/>
    <w:pPr>
      <w:spacing w:after="0" w:line="240" w:lineRule="auto"/>
    </w:pPr>
    <w:rPr>
      <w:rFonts w:ascii="Times New Roman" w:eastAsia="Times New Roman" w:hAnsi="Times New Roman" w:cs="Times New Roman"/>
      <w:sz w:val="24"/>
      <w:szCs w:val="24"/>
      <w:lang w:eastAsia="nb-NO"/>
    </w:rPr>
  </w:style>
  <w:style w:type="paragraph" w:styleId="Heading1">
    <w:name w:val="heading 1"/>
    <w:basedOn w:val="Normal"/>
    <w:link w:val="Heading1Char"/>
    <w:qFormat/>
    <w:rsid w:val="00480495"/>
    <w:pPr>
      <w:spacing w:before="100" w:beforeAutospacing="1" w:after="100" w:afterAutospacing="1"/>
      <w:outlineLvl w:val="0"/>
    </w:pPr>
    <w:rPr>
      <w:rFonts w:ascii="Cambria" w:hAnsi="Cambria"/>
      <w:b/>
      <w:bCs/>
      <w:kern w:val="32"/>
      <w:sz w:val="32"/>
      <w:szCs w:val="32"/>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0495"/>
    <w:pPr>
      <w:tabs>
        <w:tab w:val="center" w:pos="4536"/>
        <w:tab w:val="right" w:pos="9072"/>
      </w:tabs>
    </w:pPr>
    <w:rPr>
      <w:lang w:val="x-none" w:eastAsia="x-none" w:bidi="fa-IR"/>
    </w:rPr>
  </w:style>
  <w:style w:type="character" w:customStyle="1" w:styleId="FooterChar">
    <w:name w:val="Footer Char"/>
    <w:basedOn w:val="DefaultParagraphFont"/>
    <w:link w:val="Footer"/>
    <w:rsid w:val="00480495"/>
    <w:rPr>
      <w:rFonts w:ascii="Times New Roman" w:eastAsia="Times New Roman" w:hAnsi="Times New Roman" w:cs="Times New Roman"/>
      <w:sz w:val="24"/>
      <w:szCs w:val="24"/>
      <w:lang w:val="x-none" w:eastAsia="x-none" w:bidi="fa-IR"/>
    </w:rPr>
  </w:style>
  <w:style w:type="character" w:styleId="PageNumber">
    <w:name w:val="page number"/>
    <w:rsid w:val="00480495"/>
    <w:rPr>
      <w:rFonts w:cs="Times New Roman"/>
    </w:rPr>
  </w:style>
  <w:style w:type="character" w:styleId="LineNumber">
    <w:name w:val="line number"/>
    <w:basedOn w:val="DefaultParagraphFont"/>
    <w:uiPriority w:val="99"/>
    <w:semiHidden/>
    <w:unhideWhenUsed/>
    <w:rsid w:val="00480495"/>
  </w:style>
  <w:style w:type="paragraph" w:styleId="BalloonText">
    <w:name w:val="Balloon Text"/>
    <w:basedOn w:val="Normal"/>
    <w:link w:val="BalloonTextChar"/>
    <w:uiPriority w:val="99"/>
    <w:semiHidden/>
    <w:unhideWhenUsed/>
    <w:rsid w:val="00480495"/>
    <w:rPr>
      <w:rFonts w:ascii="Tahoma" w:hAnsi="Tahoma" w:cs="Tahoma"/>
      <w:sz w:val="16"/>
      <w:szCs w:val="16"/>
    </w:rPr>
  </w:style>
  <w:style w:type="character" w:customStyle="1" w:styleId="BalloonTextChar">
    <w:name w:val="Balloon Text Char"/>
    <w:basedOn w:val="DefaultParagraphFont"/>
    <w:link w:val="BalloonText"/>
    <w:uiPriority w:val="99"/>
    <w:semiHidden/>
    <w:rsid w:val="00480495"/>
    <w:rPr>
      <w:rFonts w:ascii="Tahoma" w:eastAsia="Times New Roman" w:hAnsi="Tahoma" w:cs="Tahoma"/>
      <w:sz w:val="16"/>
      <w:szCs w:val="16"/>
      <w:lang w:eastAsia="nb-NO"/>
    </w:rPr>
  </w:style>
  <w:style w:type="character" w:customStyle="1" w:styleId="Heading1Char">
    <w:name w:val="Heading 1 Char"/>
    <w:basedOn w:val="DefaultParagraphFont"/>
    <w:link w:val="Heading1"/>
    <w:rsid w:val="00480495"/>
    <w:rPr>
      <w:rFonts w:ascii="Cambria" w:eastAsia="Times New Roman" w:hAnsi="Cambria" w:cs="Times New Roman"/>
      <w:b/>
      <w:bCs/>
      <w:kern w:val="32"/>
      <w:sz w:val="32"/>
      <w:szCs w:val="32"/>
      <w:lang w:val="x-none" w:eastAsia="x-none" w:bidi="fa-IR"/>
    </w:rPr>
  </w:style>
  <w:style w:type="character" w:styleId="Hyperlink">
    <w:name w:val="Hyperlink"/>
    <w:rsid w:val="00480495"/>
    <w:rPr>
      <w:rFonts w:cs="Times New Roman"/>
      <w:color w:val="0000FF"/>
      <w:u w:val="single"/>
    </w:rPr>
  </w:style>
  <w:style w:type="character" w:styleId="CommentReference">
    <w:name w:val="annotation reference"/>
    <w:basedOn w:val="DefaultParagraphFont"/>
    <w:uiPriority w:val="99"/>
    <w:semiHidden/>
    <w:unhideWhenUsed/>
    <w:rsid w:val="00385A55"/>
    <w:rPr>
      <w:sz w:val="16"/>
      <w:szCs w:val="16"/>
    </w:rPr>
  </w:style>
  <w:style w:type="paragraph" w:styleId="CommentText">
    <w:name w:val="annotation text"/>
    <w:basedOn w:val="Normal"/>
    <w:link w:val="CommentTextChar"/>
    <w:uiPriority w:val="99"/>
    <w:semiHidden/>
    <w:unhideWhenUsed/>
    <w:rsid w:val="00385A55"/>
    <w:rPr>
      <w:sz w:val="20"/>
      <w:szCs w:val="20"/>
    </w:rPr>
  </w:style>
  <w:style w:type="character" w:customStyle="1" w:styleId="CommentTextChar">
    <w:name w:val="Comment Text Char"/>
    <w:basedOn w:val="DefaultParagraphFont"/>
    <w:link w:val="CommentText"/>
    <w:uiPriority w:val="99"/>
    <w:semiHidden/>
    <w:rsid w:val="00385A55"/>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385A55"/>
    <w:rPr>
      <w:b/>
      <w:bCs/>
    </w:rPr>
  </w:style>
  <w:style w:type="character" w:customStyle="1" w:styleId="CommentSubjectChar">
    <w:name w:val="Comment Subject Char"/>
    <w:basedOn w:val="CommentTextChar"/>
    <w:link w:val="CommentSubject"/>
    <w:uiPriority w:val="99"/>
    <w:semiHidden/>
    <w:rsid w:val="00385A55"/>
    <w:rPr>
      <w:rFonts w:ascii="Times New Roman" w:eastAsia="Times New Roman" w:hAnsi="Times New Roman" w:cs="Times New Roman"/>
      <w:b/>
      <w:bCs/>
      <w:sz w:val="20"/>
      <w:szCs w:val="20"/>
      <w:lang w:eastAsia="nb-NO"/>
    </w:rPr>
  </w:style>
  <w:style w:type="paragraph" w:styleId="Header">
    <w:name w:val="header"/>
    <w:basedOn w:val="Normal"/>
    <w:link w:val="HeaderChar"/>
    <w:uiPriority w:val="99"/>
    <w:unhideWhenUsed/>
    <w:rsid w:val="00BA43DB"/>
    <w:pPr>
      <w:tabs>
        <w:tab w:val="center" w:pos="4680"/>
        <w:tab w:val="right" w:pos="9360"/>
      </w:tabs>
    </w:pPr>
  </w:style>
  <w:style w:type="character" w:customStyle="1" w:styleId="HeaderChar">
    <w:name w:val="Header Char"/>
    <w:basedOn w:val="DefaultParagraphFont"/>
    <w:link w:val="Header"/>
    <w:uiPriority w:val="99"/>
    <w:rsid w:val="00BA43DB"/>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95"/>
    <w:pPr>
      <w:spacing w:after="0" w:line="240" w:lineRule="auto"/>
    </w:pPr>
    <w:rPr>
      <w:rFonts w:ascii="Times New Roman" w:eastAsia="Times New Roman" w:hAnsi="Times New Roman" w:cs="Times New Roman"/>
      <w:sz w:val="24"/>
      <w:szCs w:val="24"/>
      <w:lang w:eastAsia="nb-NO"/>
    </w:rPr>
  </w:style>
  <w:style w:type="paragraph" w:styleId="Heading1">
    <w:name w:val="heading 1"/>
    <w:basedOn w:val="Normal"/>
    <w:link w:val="Heading1Char"/>
    <w:qFormat/>
    <w:rsid w:val="00480495"/>
    <w:pPr>
      <w:spacing w:before="100" w:beforeAutospacing="1" w:after="100" w:afterAutospacing="1"/>
      <w:outlineLvl w:val="0"/>
    </w:pPr>
    <w:rPr>
      <w:rFonts w:ascii="Cambria" w:hAnsi="Cambria"/>
      <w:b/>
      <w:bCs/>
      <w:kern w:val="32"/>
      <w:sz w:val="32"/>
      <w:szCs w:val="32"/>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0495"/>
    <w:pPr>
      <w:tabs>
        <w:tab w:val="center" w:pos="4536"/>
        <w:tab w:val="right" w:pos="9072"/>
      </w:tabs>
    </w:pPr>
    <w:rPr>
      <w:lang w:val="x-none" w:eastAsia="x-none" w:bidi="fa-IR"/>
    </w:rPr>
  </w:style>
  <w:style w:type="character" w:customStyle="1" w:styleId="FooterChar">
    <w:name w:val="Footer Char"/>
    <w:basedOn w:val="DefaultParagraphFont"/>
    <w:link w:val="Footer"/>
    <w:rsid w:val="00480495"/>
    <w:rPr>
      <w:rFonts w:ascii="Times New Roman" w:eastAsia="Times New Roman" w:hAnsi="Times New Roman" w:cs="Times New Roman"/>
      <w:sz w:val="24"/>
      <w:szCs w:val="24"/>
      <w:lang w:val="x-none" w:eastAsia="x-none" w:bidi="fa-IR"/>
    </w:rPr>
  </w:style>
  <w:style w:type="character" w:styleId="PageNumber">
    <w:name w:val="page number"/>
    <w:rsid w:val="00480495"/>
    <w:rPr>
      <w:rFonts w:cs="Times New Roman"/>
    </w:rPr>
  </w:style>
  <w:style w:type="character" w:styleId="LineNumber">
    <w:name w:val="line number"/>
    <w:basedOn w:val="DefaultParagraphFont"/>
    <w:uiPriority w:val="99"/>
    <w:semiHidden/>
    <w:unhideWhenUsed/>
    <w:rsid w:val="00480495"/>
  </w:style>
  <w:style w:type="paragraph" w:styleId="BalloonText">
    <w:name w:val="Balloon Text"/>
    <w:basedOn w:val="Normal"/>
    <w:link w:val="BalloonTextChar"/>
    <w:uiPriority w:val="99"/>
    <w:semiHidden/>
    <w:unhideWhenUsed/>
    <w:rsid w:val="00480495"/>
    <w:rPr>
      <w:rFonts w:ascii="Tahoma" w:hAnsi="Tahoma" w:cs="Tahoma"/>
      <w:sz w:val="16"/>
      <w:szCs w:val="16"/>
    </w:rPr>
  </w:style>
  <w:style w:type="character" w:customStyle="1" w:styleId="BalloonTextChar">
    <w:name w:val="Balloon Text Char"/>
    <w:basedOn w:val="DefaultParagraphFont"/>
    <w:link w:val="BalloonText"/>
    <w:uiPriority w:val="99"/>
    <w:semiHidden/>
    <w:rsid w:val="00480495"/>
    <w:rPr>
      <w:rFonts w:ascii="Tahoma" w:eastAsia="Times New Roman" w:hAnsi="Tahoma" w:cs="Tahoma"/>
      <w:sz w:val="16"/>
      <w:szCs w:val="16"/>
      <w:lang w:eastAsia="nb-NO"/>
    </w:rPr>
  </w:style>
  <w:style w:type="character" w:customStyle="1" w:styleId="Heading1Char">
    <w:name w:val="Heading 1 Char"/>
    <w:basedOn w:val="DefaultParagraphFont"/>
    <w:link w:val="Heading1"/>
    <w:rsid w:val="00480495"/>
    <w:rPr>
      <w:rFonts w:ascii="Cambria" w:eastAsia="Times New Roman" w:hAnsi="Cambria" w:cs="Times New Roman"/>
      <w:b/>
      <w:bCs/>
      <w:kern w:val="32"/>
      <w:sz w:val="32"/>
      <w:szCs w:val="32"/>
      <w:lang w:val="x-none" w:eastAsia="x-none" w:bidi="fa-IR"/>
    </w:rPr>
  </w:style>
  <w:style w:type="character" w:styleId="Hyperlink">
    <w:name w:val="Hyperlink"/>
    <w:rsid w:val="00480495"/>
    <w:rPr>
      <w:rFonts w:cs="Times New Roman"/>
      <w:color w:val="0000FF"/>
      <w:u w:val="single"/>
    </w:rPr>
  </w:style>
  <w:style w:type="character" w:styleId="CommentReference">
    <w:name w:val="annotation reference"/>
    <w:basedOn w:val="DefaultParagraphFont"/>
    <w:uiPriority w:val="99"/>
    <w:semiHidden/>
    <w:unhideWhenUsed/>
    <w:rsid w:val="00385A55"/>
    <w:rPr>
      <w:sz w:val="16"/>
      <w:szCs w:val="16"/>
    </w:rPr>
  </w:style>
  <w:style w:type="paragraph" w:styleId="CommentText">
    <w:name w:val="annotation text"/>
    <w:basedOn w:val="Normal"/>
    <w:link w:val="CommentTextChar"/>
    <w:uiPriority w:val="99"/>
    <w:semiHidden/>
    <w:unhideWhenUsed/>
    <w:rsid w:val="00385A55"/>
    <w:rPr>
      <w:sz w:val="20"/>
      <w:szCs w:val="20"/>
    </w:rPr>
  </w:style>
  <w:style w:type="character" w:customStyle="1" w:styleId="CommentTextChar">
    <w:name w:val="Comment Text Char"/>
    <w:basedOn w:val="DefaultParagraphFont"/>
    <w:link w:val="CommentText"/>
    <w:uiPriority w:val="99"/>
    <w:semiHidden/>
    <w:rsid w:val="00385A55"/>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385A55"/>
    <w:rPr>
      <w:b/>
      <w:bCs/>
    </w:rPr>
  </w:style>
  <w:style w:type="character" w:customStyle="1" w:styleId="CommentSubjectChar">
    <w:name w:val="Comment Subject Char"/>
    <w:basedOn w:val="CommentTextChar"/>
    <w:link w:val="CommentSubject"/>
    <w:uiPriority w:val="99"/>
    <w:semiHidden/>
    <w:rsid w:val="00385A55"/>
    <w:rPr>
      <w:rFonts w:ascii="Times New Roman" w:eastAsia="Times New Roman" w:hAnsi="Times New Roman" w:cs="Times New Roman"/>
      <w:b/>
      <w:bCs/>
      <w:sz w:val="20"/>
      <w:szCs w:val="20"/>
      <w:lang w:eastAsia="nb-NO"/>
    </w:rPr>
  </w:style>
  <w:style w:type="paragraph" w:styleId="Header">
    <w:name w:val="header"/>
    <w:basedOn w:val="Normal"/>
    <w:link w:val="HeaderChar"/>
    <w:uiPriority w:val="99"/>
    <w:unhideWhenUsed/>
    <w:rsid w:val="00BA43DB"/>
    <w:pPr>
      <w:tabs>
        <w:tab w:val="center" w:pos="4680"/>
        <w:tab w:val="right" w:pos="9360"/>
      </w:tabs>
    </w:pPr>
  </w:style>
  <w:style w:type="character" w:customStyle="1" w:styleId="HeaderChar">
    <w:name w:val="Header Char"/>
    <w:basedOn w:val="DefaultParagraphFont"/>
    <w:link w:val="Header"/>
    <w:uiPriority w:val="99"/>
    <w:rsid w:val="00BA43DB"/>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3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ome.ansatt.ntnu.no\falahati\Projects\AL_Iceland\Al_Iceland_res_new.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41006158276907"/>
          <c:y val="6.4394177594466126E-2"/>
          <c:w val="0.88780885852303482"/>
          <c:h val="0.70076016793977847"/>
        </c:manualLayout>
      </c:layout>
      <c:barChart>
        <c:barDir val="col"/>
        <c:grouping val="clustered"/>
        <c:varyColors val="0"/>
        <c:ser>
          <c:idx val="0"/>
          <c:order val="0"/>
          <c:tx>
            <c:strRef>
              <c:f>Geneclass_Da_Paetkau2004!$N$277</c:f>
              <c:strCache>
                <c:ptCount val="1"/>
                <c:pt idx="0">
                  <c:v>Iceland</c:v>
                </c:pt>
              </c:strCache>
            </c:strRef>
          </c:tx>
          <c:spPr>
            <a:solidFill>
              <a:srgbClr val="9999FF"/>
            </a:solidFill>
            <a:ln w="12700">
              <a:solidFill>
                <a:srgbClr val="000000"/>
              </a:solidFill>
              <a:prstDash val="solid"/>
            </a:ln>
          </c:spPr>
          <c:invertIfNegative val="0"/>
          <c:cat>
            <c:numRef>
              <c:f>Geneclass_Da_Paetkau2004!$M$278:$M$290</c:f>
              <c:numCache>
                <c:formatCode>General</c:formatCode>
                <c:ptCount val="13"/>
                <c:pt idx="0">
                  <c:v>0</c:v>
                </c:pt>
                <c:pt idx="1">
                  <c:v>0.01</c:v>
                </c:pt>
                <c:pt idx="2">
                  <c:v>0.05</c:v>
                </c:pt>
                <c:pt idx="3">
                  <c:v>0.1</c:v>
                </c:pt>
                <c:pt idx="4">
                  <c:v>0.2</c:v>
                </c:pt>
                <c:pt idx="5">
                  <c:v>0.3</c:v>
                </c:pt>
                <c:pt idx="6">
                  <c:v>0.4</c:v>
                </c:pt>
                <c:pt idx="7">
                  <c:v>0.5</c:v>
                </c:pt>
                <c:pt idx="8">
                  <c:v>0.6</c:v>
                </c:pt>
                <c:pt idx="9">
                  <c:v>0.7</c:v>
                </c:pt>
                <c:pt idx="10">
                  <c:v>0.8</c:v>
                </c:pt>
                <c:pt idx="11">
                  <c:v>0.9</c:v>
                </c:pt>
                <c:pt idx="12">
                  <c:v>1</c:v>
                </c:pt>
              </c:numCache>
            </c:numRef>
          </c:cat>
          <c:val>
            <c:numRef>
              <c:f>Geneclass_Da_Paetkau2004!$N$278:$N$290</c:f>
              <c:numCache>
                <c:formatCode>General</c:formatCode>
                <c:ptCount val="13"/>
                <c:pt idx="0">
                  <c:v>0</c:v>
                </c:pt>
                <c:pt idx="1">
                  <c:v>0</c:v>
                </c:pt>
                <c:pt idx="2">
                  <c:v>3</c:v>
                </c:pt>
                <c:pt idx="3">
                  <c:v>6</c:v>
                </c:pt>
                <c:pt idx="4">
                  <c:v>8</c:v>
                </c:pt>
                <c:pt idx="5">
                  <c:v>10</c:v>
                </c:pt>
                <c:pt idx="6">
                  <c:v>9</c:v>
                </c:pt>
                <c:pt idx="7">
                  <c:v>16</c:v>
                </c:pt>
                <c:pt idx="8">
                  <c:v>20</c:v>
                </c:pt>
                <c:pt idx="9">
                  <c:v>24</c:v>
                </c:pt>
                <c:pt idx="10">
                  <c:v>28</c:v>
                </c:pt>
                <c:pt idx="11">
                  <c:v>39</c:v>
                </c:pt>
                <c:pt idx="12">
                  <c:v>85</c:v>
                </c:pt>
              </c:numCache>
            </c:numRef>
          </c:val>
        </c:ser>
        <c:ser>
          <c:idx val="1"/>
          <c:order val="1"/>
          <c:tx>
            <c:strRef>
              <c:f>Geneclass_Da_Paetkau2004!$O$277</c:f>
              <c:strCache>
                <c:ptCount val="1"/>
                <c:pt idx="0">
                  <c:v>Sweden</c:v>
                </c:pt>
              </c:strCache>
            </c:strRef>
          </c:tx>
          <c:spPr>
            <a:solidFill>
              <a:srgbClr val="993366"/>
            </a:solidFill>
            <a:ln w="12700">
              <a:solidFill>
                <a:srgbClr val="000000"/>
              </a:solidFill>
              <a:prstDash val="solid"/>
            </a:ln>
          </c:spPr>
          <c:invertIfNegative val="0"/>
          <c:cat>
            <c:numRef>
              <c:f>Geneclass_Da_Paetkau2004!$M$278:$M$290</c:f>
              <c:numCache>
                <c:formatCode>General</c:formatCode>
                <c:ptCount val="13"/>
                <c:pt idx="0">
                  <c:v>0</c:v>
                </c:pt>
                <c:pt idx="1">
                  <c:v>0.01</c:v>
                </c:pt>
                <c:pt idx="2">
                  <c:v>0.05</c:v>
                </c:pt>
                <c:pt idx="3">
                  <c:v>0.1</c:v>
                </c:pt>
                <c:pt idx="4">
                  <c:v>0.2</c:v>
                </c:pt>
                <c:pt idx="5">
                  <c:v>0.3</c:v>
                </c:pt>
                <c:pt idx="6">
                  <c:v>0.4</c:v>
                </c:pt>
                <c:pt idx="7">
                  <c:v>0.5</c:v>
                </c:pt>
                <c:pt idx="8">
                  <c:v>0.6</c:v>
                </c:pt>
                <c:pt idx="9">
                  <c:v>0.7</c:v>
                </c:pt>
                <c:pt idx="10">
                  <c:v>0.8</c:v>
                </c:pt>
                <c:pt idx="11">
                  <c:v>0.9</c:v>
                </c:pt>
                <c:pt idx="12">
                  <c:v>1</c:v>
                </c:pt>
              </c:numCache>
            </c:numRef>
          </c:cat>
          <c:val>
            <c:numRef>
              <c:f>Geneclass_Da_Paetkau2004!$O$278:$O$290</c:f>
              <c:numCache>
                <c:formatCode>General</c:formatCode>
                <c:ptCount val="13"/>
                <c:pt idx="0">
                  <c:v>0</c:v>
                </c:pt>
                <c:pt idx="1">
                  <c:v>1</c:v>
                </c:pt>
                <c:pt idx="2">
                  <c:v>1</c:v>
                </c:pt>
                <c:pt idx="3">
                  <c:v>2</c:v>
                </c:pt>
                <c:pt idx="4">
                  <c:v>15</c:v>
                </c:pt>
                <c:pt idx="5">
                  <c:v>12</c:v>
                </c:pt>
                <c:pt idx="6">
                  <c:v>13</c:v>
                </c:pt>
                <c:pt idx="7">
                  <c:v>16</c:v>
                </c:pt>
                <c:pt idx="8">
                  <c:v>22</c:v>
                </c:pt>
                <c:pt idx="9">
                  <c:v>20</c:v>
                </c:pt>
                <c:pt idx="10">
                  <c:v>32</c:v>
                </c:pt>
                <c:pt idx="11">
                  <c:v>27</c:v>
                </c:pt>
                <c:pt idx="12">
                  <c:v>64</c:v>
                </c:pt>
              </c:numCache>
            </c:numRef>
          </c:val>
        </c:ser>
        <c:ser>
          <c:idx val="2"/>
          <c:order val="2"/>
          <c:tx>
            <c:strRef>
              <c:f>Geneclass_Da_Paetkau2004!$P$277</c:f>
              <c:strCache>
                <c:ptCount val="1"/>
                <c:pt idx="0">
                  <c:v>Norway</c:v>
                </c:pt>
              </c:strCache>
            </c:strRef>
          </c:tx>
          <c:spPr>
            <a:solidFill>
              <a:srgbClr val="FFFFCC"/>
            </a:solidFill>
            <a:ln w="12700">
              <a:solidFill>
                <a:srgbClr val="000000"/>
              </a:solidFill>
              <a:prstDash val="solid"/>
            </a:ln>
          </c:spPr>
          <c:invertIfNegative val="0"/>
          <c:cat>
            <c:numRef>
              <c:f>Geneclass_Da_Paetkau2004!$M$278:$M$290</c:f>
              <c:numCache>
                <c:formatCode>General</c:formatCode>
                <c:ptCount val="13"/>
                <c:pt idx="0">
                  <c:v>0</c:v>
                </c:pt>
                <c:pt idx="1">
                  <c:v>0.01</c:v>
                </c:pt>
                <c:pt idx="2">
                  <c:v>0.05</c:v>
                </c:pt>
                <c:pt idx="3">
                  <c:v>0.1</c:v>
                </c:pt>
                <c:pt idx="4">
                  <c:v>0.2</c:v>
                </c:pt>
                <c:pt idx="5">
                  <c:v>0.3</c:v>
                </c:pt>
                <c:pt idx="6">
                  <c:v>0.4</c:v>
                </c:pt>
                <c:pt idx="7">
                  <c:v>0.5</c:v>
                </c:pt>
                <c:pt idx="8">
                  <c:v>0.6</c:v>
                </c:pt>
                <c:pt idx="9">
                  <c:v>0.7</c:v>
                </c:pt>
                <c:pt idx="10">
                  <c:v>0.8</c:v>
                </c:pt>
                <c:pt idx="11">
                  <c:v>0.9</c:v>
                </c:pt>
                <c:pt idx="12">
                  <c:v>1</c:v>
                </c:pt>
              </c:numCache>
            </c:numRef>
          </c:cat>
          <c:val>
            <c:numRef>
              <c:f>Geneclass_Da_Paetkau2004!$P$278:$P$290</c:f>
              <c:numCache>
                <c:formatCode>General</c:formatCode>
                <c:ptCount val="13"/>
                <c:pt idx="0">
                  <c:v>0</c:v>
                </c:pt>
                <c:pt idx="1">
                  <c:v>0</c:v>
                </c:pt>
                <c:pt idx="2">
                  <c:v>3</c:v>
                </c:pt>
                <c:pt idx="3">
                  <c:v>6</c:v>
                </c:pt>
                <c:pt idx="4">
                  <c:v>14</c:v>
                </c:pt>
                <c:pt idx="5">
                  <c:v>10</c:v>
                </c:pt>
                <c:pt idx="6">
                  <c:v>9</c:v>
                </c:pt>
                <c:pt idx="7">
                  <c:v>23</c:v>
                </c:pt>
                <c:pt idx="8">
                  <c:v>20</c:v>
                </c:pt>
                <c:pt idx="9">
                  <c:v>31</c:v>
                </c:pt>
                <c:pt idx="10">
                  <c:v>32</c:v>
                </c:pt>
                <c:pt idx="11">
                  <c:v>41</c:v>
                </c:pt>
                <c:pt idx="12">
                  <c:v>66</c:v>
                </c:pt>
              </c:numCache>
            </c:numRef>
          </c:val>
        </c:ser>
        <c:dLbls>
          <c:showLegendKey val="0"/>
          <c:showVal val="0"/>
          <c:showCatName val="0"/>
          <c:showSerName val="0"/>
          <c:showPercent val="0"/>
          <c:showBubbleSize val="0"/>
        </c:dLbls>
        <c:gapWidth val="150"/>
        <c:axId val="380580608"/>
        <c:axId val="380582528"/>
      </c:barChart>
      <c:catAx>
        <c:axId val="380580608"/>
        <c:scaling>
          <c:orientation val="minMax"/>
        </c:scaling>
        <c:delete val="0"/>
        <c:axPos val="b"/>
        <c:title>
          <c:tx>
            <c:rich>
              <a:bodyPr/>
              <a:lstStyle/>
              <a:p>
                <a:pPr>
                  <a:defRPr/>
                </a:pPr>
                <a:r>
                  <a:rPr lang="en-US"/>
                  <a:t>Assignment probability class</a:t>
                </a:r>
              </a:p>
            </c:rich>
          </c:tx>
          <c:layout>
            <c:manualLayout>
              <c:xMode val="edge"/>
              <c:yMode val="edge"/>
              <c:x val="0.4455257003380414"/>
              <c:y val="0.88636681778414061"/>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a:pPr>
            <a:endParaRPr lang="en-US"/>
          </a:p>
        </c:txPr>
        <c:crossAx val="380582528"/>
        <c:crosses val="autoZero"/>
        <c:auto val="1"/>
        <c:lblAlgn val="ctr"/>
        <c:lblOffset val="100"/>
        <c:tickLblSkip val="1"/>
        <c:tickMarkSkip val="1"/>
        <c:noMultiLvlLbl val="0"/>
      </c:catAx>
      <c:valAx>
        <c:axId val="380582528"/>
        <c:scaling>
          <c:orientation val="minMax"/>
        </c:scaling>
        <c:delete val="0"/>
        <c:axPos val="l"/>
        <c:title>
          <c:tx>
            <c:rich>
              <a:bodyPr/>
              <a:lstStyle/>
              <a:p>
                <a:pPr>
                  <a:defRPr/>
                </a:pPr>
                <a:r>
                  <a:rPr lang="en-US"/>
                  <a:t>Frequency</a:t>
                </a:r>
              </a:p>
            </c:rich>
          </c:tx>
          <c:layout>
            <c:manualLayout>
              <c:xMode val="edge"/>
              <c:yMode val="edge"/>
              <c:x val="6.485084306095979E-4"/>
              <c:y val="0.2727284657599618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380580608"/>
        <c:crosses val="autoZero"/>
        <c:crossBetween val="between"/>
      </c:valAx>
      <c:spPr>
        <a:noFill/>
        <a:ln w="25400">
          <a:noFill/>
        </a:ln>
      </c:spPr>
    </c:plotArea>
    <c:legend>
      <c:legendPos val="r"/>
      <c:layout>
        <c:manualLayout>
          <c:xMode val="edge"/>
          <c:yMode val="edge"/>
          <c:x val="0.14980565172544094"/>
          <c:y val="5.3030303030303032E-2"/>
          <c:w val="0.23216622241285986"/>
          <c:h val="0.2424250377793685"/>
        </c:manualLayout>
      </c:layout>
      <c:overlay val="0"/>
      <c:spPr>
        <a:noFill/>
        <a:ln w="25400">
          <a:noFill/>
        </a:ln>
      </c:sp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7667C-7D4E-4E53-8953-F62DBFE1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826</Words>
  <Characters>4711</Characters>
  <Application>Microsoft Office Word</Application>
  <DocSecurity>0</DocSecurity>
  <Lines>39</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 Falahati-Anbaran</dc:creator>
  <cp:lastModifiedBy>Mohsen Falahati-Anbaran</cp:lastModifiedBy>
  <cp:revision>2</cp:revision>
  <dcterms:created xsi:type="dcterms:W3CDTF">2014-08-24T13:55:00Z</dcterms:created>
  <dcterms:modified xsi:type="dcterms:W3CDTF">2014-08-24T13:55:00Z</dcterms:modified>
</cp:coreProperties>
</file>