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67" w:rsidRPr="00C13E8B" w:rsidRDefault="00532A67" w:rsidP="00532A67">
      <w:pPr>
        <w:rPr>
          <w:rFonts w:ascii="Times New Roman" w:hAnsi="Times New Roman" w:cs="Arial"/>
          <w:b/>
        </w:rPr>
      </w:pPr>
      <w:r>
        <w:rPr>
          <w:rFonts w:ascii="Times New Roman" w:hAnsi="Times New Roman" w:cs="Arial"/>
          <w:b/>
        </w:rPr>
        <w:t>Table S5</w:t>
      </w:r>
      <w:r w:rsidRPr="0022753E">
        <w:rPr>
          <w:rFonts w:ascii="Times New Roman" w:hAnsi="Times New Roman" w:cs="Arial"/>
          <w:b/>
        </w:rPr>
        <w:t xml:space="preserve">: </w:t>
      </w:r>
      <w:r w:rsidRPr="00727F64">
        <w:rPr>
          <w:rFonts w:ascii="Times New Roman" w:hAnsi="Times New Roman" w:cs="Arial"/>
        </w:rPr>
        <w:t xml:space="preserve">Multilevel logistic regression for Knowledge Probe. </w:t>
      </w:r>
      <w:r>
        <w:rPr>
          <w:rFonts w:ascii="Times New Roman" w:hAnsi="Times New Roman" w:cs="Arial"/>
        </w:rPr>
        <w:t xml:space="preserve">Effect of moving from the Test trials into the Knowledge Probe on Actor’s frequency of pulling the handle. The models below ask how the binary variable </w:t>
      </w:r>
      <w:r>
        <w:rPr>
          <w:rFonts w:ascii="Times New Roman" w:hAnsi="Times New Roman" w:cs="Arial"/>
          <w:i/>
        </w:rPr>
        <w:t xml:space="preserve">Trial was in Knowledge </w:t>
      </w:r>
      <w:r w:rsidRPr="00326F0A">
        <w:rPr>
          <w:rFonts w:ascii="Times New Roman" w:hAnsi="Times New Roman" w:cs="Arial"/>
          <w:i/>
        </w:rPr>
        <w:t>Probe</w:t>
      </w:r>
      <w:r>
        <w:rPr>
          <w:rFonts w:ascii="Times New Roman" w:hAnsi="Times New Roman" w:cs="Arial"/>
        </w:rPr>
        <w:t xml:space="preserve"> predicts the probability that animals pulled the handle. </w:t>
      </w:r>
      <w:r w:rsidRPr="00326F0A">
        <w:rPr>
          <w:rFonts w:ascii="Times New Roman" w:hAnsi="Times New Roman" w:cs="Arial"/>
        </w:rPr>
        <w:t>For</w:t>
      </w:r>
      <w:r>
        <w:rPr>
          <w:rFonts w:ascii="Times New Roman" w:hAnsi="Times New Roman" w:cs="Arial"/>
        </w:rPr>
        <w:t xml:space="preserve"> the 0/0 payoff, animals were not more likely to pull the handle if the trial was in the Knowledge Probe, as the coefficient for the parameter is smaller than its standard error. </w:t>
      </w:r>
    </w:p>
    <w:p w:rsidR="00532A67" w:rsidRDefault="00532A67" w:rsidP="00532A67">
      <w:pPr>
        <w:pStyle w:val="ManuscriptText"/>
        <w:rPr>
          <w:rFonts w:ascii="Times New Roman" w:hAnsi="Times New Roman" w:cs="Arial"/>
          <w:sz w:val="24"/>
        </w:rPr>
      </w:pPr>
    </w:p>
    <w:p w:rsidR="00532A67" w:rsidRDefault="00532A67" w:rsidP="00532A67">
      <w:pPr>
        <w:pStyle w:val="ManuscriptText"/>
        <w:rPr>
          <w:rFonts w:ascii="Times New Roman" w:hAnsi="Times New Roman" w:cs="Arial"/>
          <w:sz w:val="24"/>
        </w:rPr>
      </w:pPr>
      <w:r>
        <w:rPr>
          <w:rFonts w:ascii="Times New Roman" w:hAnsi="Times New Roman" w:cs="Arial"/>
          <w:sz w:val="24"/>
        </w:rPr>
        <w:t>However, f</w:t>
      </w:r>
      <w:r w:rsidRPr="00326F0A">
        <w:rPr>
          <w:rFonts w:ascii="Times New Roman" w:hAnsi="Times New Roman" w:cs="Arial"/>
          <w:sz w:val="24"/>
        </w:rPr>
        <w:t>or</w:t>
      </w:r>
      <w:r>
        <w:rPr>
          <w:rFonts w:ascii="Times New Roman" w:hAnsi="Times New Roman" w:cs="Arial"/>
          <w:sz w:val="24"/>
        </w:rPr>
        <w:t xml:space="preserve"> the 0/1 payoff, animals were much more likely to pull the handle if the trial was in the Knowledge Probe, as the coefficient for the parameter is much larger than its standard error. This corresponds to an Odds Ratio of 44.6, meaning that Actors were 44 times more likely to pull the handle in the Knowledge Probe than in the Test trials. The coefficient for the Random Effect parameter is also somewhat larger than its standard error, suggesting that there may be some variation in this pattern across individuals.</w:t>
      </w:r>
      <w:r>
        <w:rPr>
          <w:rFonts w:ascii="Times New Roman" w:hAnsi="Times New Roman" w:cs="Arial"/>
          <w:sz w:val="24"/>
        </w:rPr>
        <w:br/>
      </w:r>
    </w:p>
    <w:p w:rsidR="00532A67" w:rsidRPr="0022753E" w:rsidRDefault="00532A67" w:rsidP="00532A67">
      <w:pPr>
        <w:pStyle w:val="ManuscriptText"/>
        <w:rPr>
          <w:rFonts w:ascii="Times New Roman" w:hAnsi="Times New Roman" w:cs="Arial"/>
          <w:sz w:val="24"/>
        </w:rPr>
      </w:pPr>
    </w:p>
    <w:tbl>
      <w:tblPr>
        <w:tblW w:w="6864" w:type="dxa"/>
        <w:jc w:val="center"/>
        <w:tblInd w:w="-429"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045"/>
        <w:gridCol w:w="2416"/>
        <w:gridCol w:w="2403"/>
      </w:tblGrid>
      <w:tr w:rsidR="00532A67" w:rsidRPr="0022753E" w:rsidTr="001524CD">
        <w:trPr>
          <w:trHeight w:val="512"/>
          <w:jc w:val="center"/>
        </w:trPr>
        <w:tc>
          <w:tcPr>
            <w:tcW w:w="2045" w:type="dxa"/>
            <w:vMerge w:val="restart"/>
            <w:tcBorders>
              <w:top w:val="single" w:sz="12" w:space="0" w:color="auto"/>
              <w:left w:val="nil"/>
              <w:bottom w:val="single" w:sz="12" w:space="0" w:color="auto"/>
              <w:right w:val="nil"/>
            </w:tcBorders>
            <w:shd w:val="clear" w:color="auto" w:fill="auto"/>
            <w:vAlign w:val="center"/>
          </w:tcPr>
          <w:p w:rsidR="00532A67" w:rsidRPr="00AC15FC" w:rsidRDefault="00532A67" w:rsidP="001524CD">
            <w:pPr>
              <w:pStyle w:val="ManuscriptText"/>
              <w:spacing w:after="0"/>
              <w:rPr>
                <w:rFonts w:ascii="Times New Roman" w:hAnsi="Times New Roman" w:cs="Arial"/>
                <w:sz w:val="24"/>
              </w:rPr>
            </w:pPr>
            <w:r w:rsidRPr="0022753E">
              <w:rPr>
                <w:rFonts w:ascii="Times New Roman" w:hAnsi="Times New Roman" w:cs="Arial"/>
                <w:sz w:val="24"/>
              </w:rPr>
              <w:t xml:space="preserve">DV: </w:t>
            </w:r>
            <w:r>
              <w:rPr>
                <w:rFonts w:ascii="Times New Roman" w:hAnsi="Times New Roman" w:cs="Arial"/>
                <w:sz w:val="24"/>
              </w:rPr>
              <w:t>pulled handle</w:t>
            </w:r>
            <w:r w:rsidRPr="0022753E">
              <w:rPr>
                <w:rFonts w:ascii="Times New Roman" w:hAnsi="Times New Roman" w:cs="Arial"/>
                <w:sz w:val="24"/>
              </w:rPr>
              <w:t xml:space="preserve"> </w:t>
            </w:r>
          </w:p>
        </w:tc>
        <w:tc>
          <w:tcPr>
            <w:tcW w:w="2416" w:type="dxa"/>
            <w:tcBorders>
              <w:top w:val="single" w:sz="12" w:space="0" w:color="auto"/>
              <w:left w:val="nil"/>
              <w:right w:val="nil"/>
            </w:tcBorders>
            <w:shd w:val="clear" w:color="auto" w:fill="auto"/>
            <w:vAlign w:val="center"/>
          </w:tcPr>
          <w:p w:rsidR="00532A67" w:rsidRDefault="00532A67" w:rsidP="001524CD">
            <w:pPr>
              <w:pStyle w:val="ManuscriptText"/>
              <w:jc w:val="center"/>
              <w:rPr>
                <w:rFonts w:ascii="Times New Roman" w:hAnsi="Times New Roman" w:cs="Arial"/>
                <w:sz w:val="24"/>
              </w:rPr>
            </w:pPr>
            <w:r>
              <w:rPr>
                <w:rFonts w:ascii="Times New Roman" w:hAnsi="Times New Roman" w:cs="Arial"/>
                <w:sz w:val="24"/>
              </w:rPr>
              <w:t>0 / 1 payoff</w:t>
            </w:r>
          </w:p>
          <w:p w:rsidR="00532A67" w:rsidRDefault="00532A67" w:rsidP="001524CD">
            <w:pPr>
              <w:pStyle w:val="ManuscriptText"/>
              <w:spacing w:after="0"/>
              <w:rPr>
                <w:rFonts w:ascii="Times New Roman" w:hAnsi="Times New Roman" w:cs="Arial"/>
                <w:sz w:val="24"/>
              </w:rPr>
            </w:pPr>
            <w:r>
              <w:rPr>
                <w:rFonts w:ascii="Times New Roman" w:hAnsi="Times New Roman" w:cs="Arial"/>
                <w:sz w:val="24"/>
              </w:rPr>
              <w:t>N (subjects) = 4</w:t>
            </w:r>
          </w:p>
          <w:p w:rsidR="00532A67" w:rsidRPr="0022753E" w:rsidRDefault="00532A67" w:rsidP="001524CD">
            <w:pPr>
              <w:pStyle w:val="ManuscriptText"/>
              <w:spacing w:after="0"/>
              <w:rPr>
                <w:rFonts w:ascii="Times New Roman" w:hAnsi="Times New Roman" w:cs="Arial"/>
                <w:sz w:val="24"/>
              </w:rPr>
            </w:pPr>
            <w:r>
              <w:rPr>
                <w:rFonts w:ascii="Times New Roman" w:hAnsi="Times New Roman" w:cs="Arial"/>
                <w:sz w:val="24"/>
              </w:rPr>
              <w:t>N (observations) = 85</w:t>
            </w:r>
          </w:p>
        </w:tc>
        <w:tc>
          <w:tcPr>
            <w:tcW w:w="2403" w:type="dxa"/>
            <w:tcBorders>
              <w:top w:val="single" w:sz="12" w:space="0" w:color="auto"/>
              <w:left w:val="nil"/>
              <w:right w:val="nil"/>
            </w:tcBorders>
            <w:vAlign w:val="center"/>
          </w:tcPr>
          <w:p w:rsidR="00532A67" w:rsidRDefault="00532A67" w:rsidP="001524CD">
            <w:pPr>
              <w:pStyle w:val="ManuscriptText"/>
              <w:jc w:val="center"/>
              <w:rPr>
                <w:rFonts w:ascii="Times New Roman" w:hAnsi="Times New Roman" w:cs="Arial"/>
                <w:sz w:val="24"/>
              </w:rPr>
            </w:pPr>
            <w:r>
              <w:rPr>
                <w:rFonts w:ascii="Times New Roman" w:hAnsi="Times New Roman" w:cs="Arial"/>
                <w:sz w:val="24"/>
              </w:rPr>
              <w:t>0 / 0 payoff</w:t>
            </w:r>
          </w:p>
          <w:p w:rsidR="00532A67" w:rsidRDefault="00532A67" w:rsidP="001524CD">
            <w:pPr>
              <w:pStyle w:val="ManuscriptText"/>
              <w:spacing w:after="0"/>
              <w:rPr>
                <w:rFonts w:ascii="Times New Roman" w:hAnsi="Times New Roman" w:cs="Arial"/>
                <w:sz w:val="24"/>
              </w:rPr>
            </w:pPr>
            <w:r>
              <w:rPr>
                <w:rFonts w:ascii="Times New Roman" w:hAnsi="Times New Roman" w:cs="Arial"/>
                <w:sz w:val="24"/>
              </w:rPr>
              <w:t>N (subjects) = 4</w:t>
            </w:r>
          </w:p>
          <w:p w:rsidR="00532A67" w:rsidRPr="0022753E" w:rsidRDefault="00532A67" w:rsidP="001524CD">
            <w:pPr>
              <w:pStyle w:val="ManuscriptText"/>
              <w:spacing w:after="0"/>
              <w:rPr>
                <w:rFonts w:ascii="Times New Roman" w:hAnsi="Times New Roman" w:cs="Arial"/>
                <w:sz w:val="24"/>
              </w:rPr>
            </w:pPr>
            <w:r>
              <w:rPr>
                <w:rFonts w:ascii="Times New Roman" w:hAnsi="Times New Roman" w:cs="Arial"/>
                <w:sz w:val="24"/>
              </w:rPr>
              <w:t>N (observations) = 92</w:t>
            </w:r>
          </w:p>
        </w:tc>
      </w:tr>
      <w:tr w:rsidR="00532A67" w:rsidRPr="0022753E" w:rsidTr="001524CD">
        <w:trPr>
          <w:trHeight w:val="115"/>
          <w:jc w:val="center"/>
        </w:trPr>
        <w:tc>
          <w:tcPr>
            <w:tcW w:w="2045" w:type="dxa"/>
            <w:vMerge/>
            <w:tcBorders>
              <w:top w:val="single" w:sz="12" w:space="0" w:color="auto"/>
              <w:left w:val="nil"/>
              <w:bottom w:val="single" w:sz="12" w:space="0" w:color="auto"/>
              <w:right w:val="nil"/>
            </w:tcBorders>
            <w:shd w:val="clear" w:color="auto" w:fill="auto"/>
            <w:vAlign w:val="center"/>
          </w:tcPr>
          <w:p w:rsidR="00532A67" w:rsidRPr="0022753E" w:rsidRDefault="00532A67" w:rsidP="001524CD">
            <w:pPr>
              <w:rPr>
                <w:rFonts w:ascii="Times New Roman" w:hAnsi="Times New Roman" w:cs="Arial"/>
              </w:rPr>
            </w:pPr>
          </w:p>
        </w:tc>
        <w:tc>
          <w:tcPr>
            <w:tcW w:w="2416" w:type="dxa"/>
            <w:tcBorders>
              <w:top w:val="single" w:sz="12" w:space="0" w:color="auto"/>
              <w:left w:val="nil"/>
              <w:bottom w:val="single" w:sz="12" w:space="0" w:color="auto"/>
              <w:right w:val="nil"/>
            </w:tcBorders>
            <w:shd w:val="clear" w:color="auto" w:fill="auto"/>
            <w:vAlign w:val="center"/>
          </w:tcPr>
          <w:p w:rsidR="00532A67" w:rsidRPr="0022753E" w:rsidRDefault="00532A67" w:rsidP="001524CD">
            <w:pPr>
              <w:pStyle w:val="ManuscriptText"/>
              <w:spacing w:after="0"/>
              <w:jc w:val="center"/>
              <w:rPr>
                <w:rFonts w:ascii="Times New Roman" w:hAnsi="Times New Roman" w:cs="Arial"/>
                <w:sz w:val="24"/>
              </w:rPr>
            </w:pPr>
            <w:proofErr w:type="spellStart"/>
            <w:r w:rsidRPr="0022753E">
              <w:rPr>
                <w:rFonts w:ascii="Times New Roman" w:hAnsi="Times New Roman" w:cs="Arial"/>
                <w:sz w:val="24"/>
              </w:rPr>
              <w:t>Coef</w:t>
            </w:r>
            <w:proofErr w:type="spellEnd"/>
            <w:r w:rsidRPr="0022753E">
              <w:rPr>
                <w:rFonts w:ascii="Times New Roman" w:hAnsi="Times New Roman" w:cs="Arial"/>
                <w:sz w:val="24"/>
              </w:rPr>
              <w:t>. (SE)</w:t>
            </w:r>
          </w:p>
        </w:tc>
        <w:tc>
          <w:tcPr>
            <w:tcW w:w="2403" w:type="dxa"/>
            <w:tcBorders>
              <w:top w:val="single" w:sz="12" w:space="0" w:color="auto"/>
              <w:left w:val="nil"/>
              <w:bottom w:val="single" w:sz="12" w:space="0" w:color="auto"/>
              <w:right w:val="nil"/>
            </w:tcBorders>
            <w:vAlign w:val="center"/>
          </w:tcPr>
          <w:p w:rsidR="00532A67" w:rsidRPr="0022753E" w:rsidRDefault="00532A67" w:rsidP="001524CD">
            <w:pPr>
              <w:pStyle w:val="ManuscriptText"/>
              <w:spacing w:after="0"/>
              <w:jc w:val="center"/>
              <w:rPr>
                <w:rFonts w:ascii="Times New Roman" w:hAnsi="Times New Roman" w:cs="Arial"/>
                <w:sz w:val="24"/>
              </w:rPr>
            </w:pPr>
            <w:proofErr w:type="spellStart"/>
            <w:r w:rsidRPr="0022753E">
              <w:rPr>
                <w:rFonts w:ascii="Times New Roman" w:hAnsi="Times New Roman" w:cs="Arial"/>
                <w:sz w:val="24"/>
              </w:rPr>
              <w:t>Coef</w:t>
            </w:r>
            <w:proofErr w:type="spellEnd"/>
            <w:r w:rsidRPr="0022753E">
              <w:rPr>
                <w:rFonts w:ascii="Times New Roman" w:hAnsi="Times New Roman" w:cs="Arial"/>
                <w:sz w:val="24"/>
              </w:rPr>
              <w:t>. (SE)</w:t>
            </w:r>
          </w:p>
        </w:tc>
      </w:tr>
      <w:tr w:rsidR="00532A67" w:rsidRPr="0022753E" w:rsidTr="001524CD">
        <w:trPr>
          <w:trHeight w:val="440"/>
          <w:jc w:val="center"/>
        </w:trPr>
        <w:tc>
          <w:tcPr>
            <w:tcW w:w="2045" w:type="dxa"/>
            <w:tcBorders>
              <w:top w:val="single" w:sz="12" w:space="0" w:color="auto"/>
              <w:bottom w:val="single" w:sz="12" w:space="0" w:color="auto"/>
            </w:tcBorders>
            <w:shd w:val="clear" w:color="auto" w:fill="F2F2F2" w:themeFill="background1" w:themeFillShade="F2"/>
            <w:vAlign w:val="center"/>
          </w:tcPr>
          <w:p w:rsidR="00532A67" w:rsidRPr="0022753E" w:rsidRDefault="00532A67" w:rsidP="001524CD">
            <w:pPr>
              <w:pStyle w:val="ManuscriptText"/>
              <w:spacing w:after="0"/>
              <w:rPr>
                <w:rFonts w:ascii="Times New Roman" w:hAnsi="Times New Roman" w:cs="Arial"/>
                <w:sz w:val="24"/>
              </w:rPr>
            </w:pPr>
            <w:r>
              <w:rPr>
                <w:rFonts w:ascii="Times New Roman" w:hAnsi="Times New Roman" w:cs="Arial"/>
                <w:sz w:val="24"/>
              </w:rPr>
              <w:t>Trial was in Knowledge Probe (0=No, 1=Yes)</w:t>
            </w:r>
          </w:p>
        </w:tc>
        <w:tc>
          <w:tcPr>
            <w:tcW w:w="2416" w:type="dxa"/>
            <w:tcBorders>
              <w:top w:val="single" w:sz="12" w:space="0" w:color="auto"/>
              <w:bottom w:val="single" w:sz="12" w:space="0" w:color="auto"/>
            </w:tcBorders>
            <w:shd w:val="clear" w:color="auto" w:fill="F2F2F2" w:themeFill="background1" w:themeFillShade="F2"/>
            <w:vAlign w:val="center"/>
          </w:tcPr>
          <w:p w:rsidR="00532A67" w:rsidRPr="0022753E" w:rsidRDefault="00532A67" w:rsidP="001524CD">
            <w:pPr>
              <w:pStyle w:val="ManuscriptText"/>
              <w:spacing w:after="0"/>
              <w:jc w:val="center"/>
              <w:rPr>
                <w:rFonts w:ascii="Times New Roman" w:hAnsi="Times New Roman" w:cs="Arial"/>
                <w:sz w:val="24"/>
              </w:rPr>
            </w:pPr>
            <w:r>
              <w:rPr>
                <w:rFonts w:ascii="Times New Roman" w:hAnsi="Times New Roman" w:cs="Arial"/>
                <w:sz w:val="24"/>
              </w:rPr>
              <w:t>3.80 (.74)</w:t>
            </w:r>
          </w:p>
        </w:tc>
        <w:tc>
          <w:tcPr>
            <w:tcW w:w="2403" w:type="dxa"/>
            <w:tcBorders>
              <w:top w:val="single" w:sz="12" w:space="0" w:color="auto"/>
              <w:bottom w:val="single" w:sz="12" w:space="0" w:color="auto"/>
            </w:tcBorders>
            <w:shd w:val="clear" w:color="auto" w:fill="F2F2F2" w:themeFill="background1" w:themeFillShade="F2"/>
            <w:vAlign w:val="center"/>
          </w:tcPr>
          <w:p w:rsidR="00532A67" w:rsidRPr="0022753E" w:rsidRDefault="00532A67" w:rsidP="001524CD">
            <w:pPr>
              <w:pStyle w:val="ManuscriptText"/>
              <w:spacing w:after="0"/>
              <w:jc w:val="center"/>
              <w:rPr>
                <w:rFonts w:ascii="Times New Roman" w:hAnsi="Times New Roman" w:cs="Arial"/>
                <w:sz w:val="24"/>
              </w:rPr>
            </w:pPr>
            <w:r w:rsidRPr="0022753E">
              <w:rPr>
                <w:rFonts w:ascii="Times New Roman" w:hAnsi="Times New Roman" w:cs="Arial"/>
                <w:sz w:val="24"/>
              </w:rPr>
              <w:t>.</w:t>
            </w:r>
            <w:r>
              <w:rPr>
                <w:rFonts w:ascii="Times New Roman" w:hAnsi="Times New Roman" w:cs="Arial"/>
                <w:sz w:val="24"/>
              </w:rPr>
              <w:t>61</w:t>
            </w:r>
            <w:r w:rsidRPr="0022753E">
              <w:rPr>
                <w:rFonts w:ascii="Times New Roman" w:hAnsi="Times New Roman" w:cs="Arial"/>
                <w:sz w:val="24"/>
              </w:rPr>
              <w:t xml:space="preserve"> (.</w:t>
            </w:r>
            <w:r>
              <w:rPr>
                <w:rFonts w:ascii="Times New Roman" w:hAnsi="Times New Roman" w:cs="Arial"/>
                <w:sz w:val="24"/>
              </w:rPr>
              <w:t>76</w:t>
            </w:r>
            <w:r w:rsidRPr="0022753E">
              <w:rPr>
                <w:rFonts w:ascii="Times New Roman" w:hAnsi="Times New Roman" w:cs="Arial"/>
                <w:sz w:val="24"/>
              </w:rPr>
              <w:t>)</w:t>
            </w:r>
          </w:p>
        </w:tc>
      </w:tr>
      <w:tr w:rsidR="00532A67" w:rsidRPr="0022753E" w:rsidTr="001524CD">
        <w:trPr>
          <w:trHeight w:val="440"/>
          <w:jc w:val="center"/>
        </w:trPr>
        <w:tc>
          <w:tcPr>
            <w:tcW w:w="2045" w:type="dxa"/>
            <w:tcBorders>
              <w:top w:val="single" w:sz="12" w:space="0" w:color="auto"/>
              <w:bottom w:val="single" w:sz="12" w:space="0" w:color="auto"/>
            </w:tcBorders>
            <w:shd w:val="clear" w:color="auto" w:fill="auto"/>
            <w:vAlign w:val="center"/>
          </w:tcPr>
          <w:p w:rsidR="00532A67" w:rsidRPr="0022753E" w:rsidRDefault="00532A67" w:rsidP="001524CD">
            <w:pPr>
              <w:pStyle w:val="ManuscriptText"/>
              <w:spacing w:after="0"/>
              <w:rPr>
                <w:rFonts w:ascii="Times New Roman" w:hAnsi="Times New Roman" w:cs="Arial"/>
                <w:sz w:val="24"/>
              </w:rPr>
            </w:pPr>
            <w:r w:rsidRPr="0022753E">
              <w:rPr>
                <w:rFonts w:ascii="Times New Roman" w:hAnsi="Times New Roman" w:cs="Arial"/>
                <w:sz w:val="24"/>
              </w:rPr>
              <w:t>Constant</w:t>
            </w:r>
          </w:p>
        </w:tc>
        <w:tc>
          <w:tcPr>
            <w:tcW w:w="2416" w:type="dxa"/>
            <w:tcBorders>
              <w:top w:val="single" w:sz="12" w:space="0" w:color="auto"/>
              <w:bottom w:val="single" w:sz="12" w:space="0" w:color="auto"/>
            </w:tcBorders>
            <w:shd w:val="clear" w:color="auto" w:fill="auto"/>
            <w:vAlign w:val="center"/>
          </w:tcPr>
          <w:p w:rsidR="00532A67" w:rsidRPr="0022753E" w:rsidRDefault="00532A67" w:rsidP="001524CD">
            <w:pPr>
              <w:pStyle w:val="ManuscriptText"/>
              <w:spacing w:after="0"/>
              <w:jc w:val="center"/>
              <w:rPr>
                <w:rFonts w:ascii="Times New Roman" w:hAnsi="Times New Roman" w:cs="Arial"/>
                <w:sz w:val="24"/>
              </w:rPr>
            </w:pPr>
            <w:r>
              <w:rPr>
                <w:rFonts w:ascii="Times New Roman" w:hAnsi="Times New Roman" w:cs="Arial"/>
                <w:sz w:val="24"/>
              </w:rPr>
              <w:t>-1.77 (.62)</w:t>
            </w:r>
          </w:p>
        </w:tc>
        <w:tc>
          <w:tcPr>
            <w:tcW w:w="2403" w:type="dxa"/>
            <w:tcBorders>
              <w:top w:val="single" w:sz="12" w:space="0" w:color="auto"/>
              <w:bottom w:val="single" w:sz="12" w:space="0" w:color="auto"/>
            </w:tcBorders>
            <w:shd w:val="clear" w:color="auto" w:fill="auto"/>
            <w:vAlign w:val="center"/>
          </w:tcPr>
          <w:p w:rsidR="00532A67" w:rsidRPr="0022753E" w:rsidRDefault="00532A67" w:rsidP="001524CD">
            <w:pPr>
              <w:pStyle w:val="ManuscriptText"/>
              <w:spacing w:after="0"/>
              <w:jc w:val="center"/>
              <w:rPr>
                <w:rFonts w:ascii="Times New Roman" w:hAnsi="Times New Roman" w:cs="Arial"/>
                <w:sz w:val="24"/>
              </w:rPr>
            </w:pPr>
            <w:r w:rsidRPr="0022753E">
              <w:rPr>
                <w:rFonts w:ascii="Times New Roman" w:hAnsi="Times New Roman" w:cs="Arial"/>
                <w:sz w:val="24"/>
              </w:rPr>
              <w:t>-</w:t>
            </w:r>
            <w:r>
              <w:rPr>
                <w:rFonts w:ascii="Times New Roman" w:hAnsi="Times New Roman" w:cs="Arial"/>
                <w:sz w:val="24"/>
              </w:rPr>
              <w:t>2</w:t>
            </w:r>
            <w:r w:rsidRPr="0022753E">
              <w:rPr>
                <w:rFonts w:ascii="Times New Roman" w:hAnsi="Times New Roman" w:cs="Arial"/>
                <w:sz w:val="24"/>
              </w:rPr>
              <w:t>.</w:t>
            </w:r>
            <w:r>
              <w:rPr>
                <w:rFonts w:ascii="Times New Roman" w:hAnsi="Times New Roman" w:cs="Arial"/>
                <w:sz w:val="24"/>
              </w:rPr>
              <w:t>71 (.65)</w:t>
            </w:r>
          </w:p>
        </w:tc>
      </w:tr>
      <w:tr w:rsidR="00532A67" w:rsidRPr="0022753E" w:rsidTr="001524CD">
        <w:trPr>
          <w:trHeight w:val="440"/>
          <w:jc w:val="center"/>
        </w:trPr>
        <w:tc>
          <w:tcPr>
            <w:tcW w:w="2045" w:type="dxa"/>
            <w:tcBorders>
              <w:top w:val="single" w:sz="12" w:space="0" w:color="auto"/>
              <w:bottom w:val="single" w:sz="12" w:space="0" w:color="808080"/>
            </w:tcBorders>
            <w:shd w:val="clear" w:color="auto" w:fill="F2F2F2" w:themeFill="background1" w:themeFillShade="F2"/>
            <w:vAlign w:val="center"/>
          </w:tcPr>
          <w:p w:rsidR="00532A67" w:rsidRPr="0022753E" w:rsidRDefault="00532A67" w:rsidP="001524CD">
            <w:pPr>
              <w:pStyle w:val="ManuscriptText"/>
              <w:spacing w:after="0"/>
              <w:rPr>
                <w:rFonts w:ascii="Times New Roman" w:hAnsi="Times New Roman" w:cs="Arial"/>
                <w:sz w:val="24"/>
              </w:rPr>
            </w:pPr>
            <w:r w:rsidRPr="0022753E">
              <w:rPr>
                <w:rFonts w:ascii="Times New Roman" w:hAnsi="Times New Roman" w:cs="Arial"/>
                <w:sz w:val="24"/>
              </w:rPr>
              <w:t>Random Effect</w:t>
            </w:r>
          </w:p>
        </w:tc>
        <w:tc>
          <w:tcPr>
            <w:tcW w:w="2416" w:type="dxa"/>
            <w:tcBorders>
              <w:top w:val="single" w:sz="12" w:space="0" w:color="auto"/>
              <w:bottom w:val="single" w:sz="12" w:space="0" w:color="808080"/>
            </w:tcBorders>
            <w:shd w:val="clear" w:color="auto" w:fill="F2F2F2" w:themeFill="background1" w:themeFillShade="F2"/>
            <w:vAlign w:val="center"/>
          </w:tcPr>
          <w:p w:rsidR="00532A67" w:rsidRPr="0022753E" w:rsidRDefault="00532A67" w:rsidP="001524CD">
            <w:pPr>
              <w:pStyle w:val="ManuscriptText"/>
              <w:spacing w:after="0"/>
              <w:jc w:val="center"/>
              <w:rPr>
                <w:rFonts w:ascii="Times New Roman" w:hAnsi="Times New Roman" w:cs="Arial"/>
                <w:sz w:val="24"/>
              </w:rPr>
            </w:pPr>
            <w:r>
              <w:rPr>
                <w:rFonts w:ascii="Times New Roman" w:hAnsi="Times New Roman" w:cs="Arial"/>
                <w:sz w:val="24"/>
              </w:rPr>
              <w:t>.82</w:t>
            </w:r>
            <w:r w:rsidRPr="0022753E">
              <w:rPr>
                <w:rFonts w:ascii="Times New Roman" w:hAnsi="Times New Roman" w:cs="Arial"/>
                <w:sz w:val="24"/>
              </w:rPr>
              <w:t xml:space="preserve"> (.</w:t>
            </w:r>
            <w:r>
              <w:rPr>
                <w:rFonts w:ascii="Times New Roman" w:hAnsi="Times New Roman" w:cs="Arial"/>
                <w:sz w:val="24"/>
              </w:rPr>
              <w:t>54</w:t>
            </w:r>
            <w:r w:rsidRPr="0022753E">
              <w:rPr>
                <w:rFonts w:ascii="Times New Roman" w:hAnsi="Times New Roman" w:cs="Arial"/>
                <w:sz w:val="24"/>
              </w:rPr>
              <w:t>)</w:t>
            </w:r>
          </w:p>
        </w:tc>
        <w:tc>
          <w:tcPr>
            <w:tcW w:w="2403" w:type="dxa"/>
            <w:tcBorders>
              <w:top w:val="single" w:sz="12" w:space="0" w:color="auto"/>
              <w:bottom w:val="single" w:sz="12" w:space="0" w:color="808080"/>
            </w:tcBorders>
            <w:shd w:val="clear" w:color="auto" w:fill="F2F2F2" w:themeFill="background1" w:themeFillShade="F2"/>
            <w:vAlign w:val="center"/>
          </w:tcPr>
          <w:p w:rsidR="00532A67" w:rsidRPr="0022753E" w:rsidRDefault="00532A67" w:rsidP="001524CD">
            <w:pPr>
              <w:pStyle w:val="ManuscriptText"/>
              <w:spacing w:after="0"/>
              <w:jc w:val="center"/>
              <w:rPr>
                <w:rFonts w:ascii="Times New Roman" w:hAnsi="Times New Roman" w:cs="Arial"/>
                <w:sz w:val="24"/>
              </w:rPr>
            </w:pPr>
            <w:r w:rsidRPr="0022753E">
              <w:rPr>
                <w:rFonts w:ascii="Times New Roman" w:hAnsi="Times New Roman" w:cs="Arial"/>
                <w:sz w:val="24"/>
              </w:rPr>
              <w:t>.</w:t>
            </w:r>
            <w:r>
              <w:rPr>
                <w:rFonts w:ascii="Times New Roman" w:hAnsi="Times New Roman" w:cs="Arial"/>
                <w:sz w:val="24"/>
              </w:rPr>
              <w:t>23</w:t>
            </w:r>
            <w:r w:rsidRPr="0022753E">
              <w:rPr>
                <w:rFonts w:ascii="Times New Roman" w:hAnsi="Times New Roman" w:cs="Arial"/>
                <w:sz w:val="24"/>
              </w:rPr>
              <w:t xml:space="preserve"> (</w:t>
            </w:r>
            <w:r>
              <w:rPr>
                <w:rFonts w:ascii="Times New Roman" w:hAnsi="Times New Roman" w:cs="Arial"/>
                <w:sz w:val="24"/>
              </w:rPr>
              <w:t>1</w:t>
            </w:r>
            <w:r w:rsidRPr="0022753E">
              <w:rPr>
                <w:rFonts w:ascii="Times New Roman" w:hAnsi="Times New Roman" w:cs="Arial"/>
                <w:sz w:val="24"/>
              </w:rPr>
              <w:t>.02)</w:t>
            </w:r>
          </w:p>
        </w:tc>
      </w:tr>
    </w:tbl>
    <w:p w:rsidR="00532A67" w:rsidRDefault="00532A67" w:rsidP="00532A67">
      <w:pPr>
        <w:rPr>
          <w:rFonts w:ascii="Times New Roman" w:hAnsi="Times New Roman" w:cs="Arial"/>
          <w:b/>
        </w:rPr>
      </w:pPr>
    </w:p>
    <w:p w:rsidR="00532A67" w:rsidRDefault="00532A67" w:rsidP="00532A67">
      <w:pPr>
        <w:rPr>
          <w:rFonts w:ascii="Times New Roman" w:hAnsi="Times New Roman" w:cs="Arial"/>
          <w:b/>
        </w:rPr>
      </w:pPr>
    </w:p>
    <w:p w:rsidR="00C200BB" w:rsidRDefault="00C200BB">
      <w:bookmarkStart w:id="0" w:name="_GoBack"/>
      <w:bookmarkEnd w:id="0"/>
    </w:p>
    <w:sectPr w:rsidR="00C200BB" w:rsidSect="00C200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67"/>
    <w:rsid w:val="00532A67"/>
    <w:rsid w:val="00C2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C6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nuscript Text"/>
    <w:qFormat/>
    <w:rsid w:val="00532A6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ext">
    <w:name w:val="ManuscriptText"/>
    <w:qFormat/>
    <w:rsid w:val="00532A67"/>
    <w:pPr>
      <w:spacing w:after="200"/>
    </w:pPr>
    <w:rPr>
      <w:rFonts w:ascii="Arial" w:eastAsiaTheme="minorHAnsi"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nuscript Text"/>
    <w:qFormat/>
    <w:rsid w:val="00532A6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ext">
    <w:name w:val="ManuscriptText"/>
    <w:qFormat/>
    <w:rsid w:val="00532A67"/>
    <w:pPr>
      <w:spacing w:after="200"/>
    </w:pPr>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Macintosh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House</dc:creator>
  <cp:keywords/>
  <dc:description/>
  <cp:lastModifiedBy>Bailey House</cp:lastModifiedBy>
  <cp:revision>1</cp:revision>
  <dcterms:created xsi:type="dcterms:W3CDTF">2014-07-21T11:18:00Z</dcterms:created>
  <dcterms:modified xsi:type="dcterms:W3CDTF">2014-07-21T11:18:00Z</dcterms:modified>
</cp:coreProperties>
</file>