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9" w:rsidRPr="00067549" w:rsidRDefault="00067549" w:rsidP="0006754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67549">
        <w:rPr>
          <w:rFonts w:ascii="Times New Roman" w:hAnsi="Times New Roman"/>
          <w:b/>
          <w:sz w:val="24"/>
          <w:szCs w:val="24"/>
          <w:lang w:val="en-GB"/>
        </w:rPr>
        <w:t xml:space="preserve">An approach to identify SNPs in the gene encoding acetyl-CoA acetyltransferase-2 </w:t>
      </w:r>
    </w:p>
    <w:p w:rsidR="00067549" w:rsidRPr="00067549" w:rsidRDefault="00067549" w:rsidP="0006754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67549">
        <w:rPr>
          <w:rFonts w:ascii="Times New Roman" w:hAnsi="Times New Roman"/>
          <w:b/>
          <w:sz w:val="24"/>
          <w:szCs w:val="24"/>
          <w:lang w:val="en-GB"/>
        </w:rPr>
        <w:t>(</w:t>
      </w:r>
      <w:r w:rsidRPr="00067549">
        <w:rPr>
          <w:rFonts w:ascii="Times New Roman" w:hAnsi="Times New Roman"/>
          <w:b/>
          <w:i/>
          <w:sz w:val="24"/>
          <w:szCs w:val="24"/>
          <w:lang w:val="en-GB"/>
        </w:rPr>
        <w:t>ACAT</w:t>
      </w:r>
      <w:r w:rsidRPr="00067549">
        <w:rPr>
          <w:rFonts w:ascii="Times New Roman" w:hAnsi="Times New Roman"/>
          <w:b/>
          <w:sz w:val="24"/>
          <w:szCs w:val="24"/>
          <w:lang w:val="en-GB"/>
        </w:rPr>
        <w:t>-</w:t>
      </w:r>
      <w:r w:rsidRPr="00067549">
        <w:rPr>
          <w:rFonts w:ascii="Times New Roman" w:hAnsi="Times New Roman"/>
          <w:b/>
          <w:i/>
          <w:sz w:val="24"/>
          <w:szCs w:val="24"/>
          <w:lang w:val="en-GB"/>
        </w:rPr>
        <w:t>2</w:t>
      </w:r>
      <w:r w:rsidRPr="00067549">
        <w:rPr>
          <w:rFonts w:ascii="Times New Roman" w:hAnsi="Times New Roman"/>
          <w:b/>
          <w:sz w:val="24"/>
          <w:szCs w:val="24"/>
          <w:lang w:val="en-GB"/>
        </w:rPr>
        <w:t>) and their proposed role in metabolic processes in pig</w:t>
      </w:r>
    </w:p>
    <w:p w:rsidR="00D669B3" w:rsidRDefault="00D669B3" w:rsidP="00D669B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D436E">
        <w:rPr>
          <w:rFonts w:asciiTheme="majorHAnsi" w:hAnsiTheme="majorHAnsi" w:cstheme="majorHAnsi"/>
          <w:sz w:val="24"/>
          <w:szCs w:val="24"/>
        </w:rPr>
        <w:t>Simrinder Singh Sodhi</w:t>
      </w:r>
      <w:r w:rsidRPr="001D436E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Pr="001D436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D436E">
        <w:rPr>
          <w:rFonts w:asciiTheme="majorHAnsi" w:hAnsiTheme="majorHAnsi" w:cstheme="majorHAnsi"/>
          <w:sz w:val="24"/>
          <w:szCs w:val="24"/>
        </w:rPr>
        <w:t>Mrinmoy</w:t>
      </w:r>
      <w:proofErr w:type="spellEnd"/>
      <w:r w:rsidRPr="001D436E">
        <w:rPr>
          <w:rFonts w:asciiTheme="majorHAnsi" w:hAnsiTheme="majorHAnsi" w:cstheme="majorHAnsi"/>
          <w:sz w:val="24"/>
          <w:szCs w:val="24"/>
        </w:rPr>
        <w:t xml:space="preserve"> Ghosh</w:t>
      </w:r>
      <w:r w:rsidRPr="001D436E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+</w:t>
      </w:r>
      <w:r w:rsidRPr="001D436E">
        <w:rPr>
          <w:rFonts w:asciiTheme="majorHAnsi" w:hAnsiTheme="majorHAnsi" w:cstheme="majorHAnsi"/>
          <w:sz w:val="24"/>
          <w:szCs w:val="24"/>
        </w:rPr>
        <w:t>, Ki-</w:t>
      </w:r>
      <w:proofErr w:type="spellStart"/>
      <w:r w:rsidRPr="001D436E">
        <w:rPr>
          <w:rFonts w:asciiTheme="majorHAnsi" w:hAnsiTheme="majorHAnsi" w:cstheme="majorHAnsi"/>
          <w:sz w:val="24"/>
          <w:szCs w:val="24"/>
        </w:rPr>
        <w:t>Duk</w:t>
      </w:r>
      <w:proofErr w:type="spellEnd"/>
      <w:r w:rsidRPr="001D436E">
        <w:rPr>
          <w:rFonts w:asciiTheme="majorHAnsi" w:hAnsiTheme="majorHAnsi" w:cstheme="majorHAnsi"/>
          <w:sz w:val="24"/>
          <w:szCs w:val="24"/>
        </w:rPr>
        <w:t xml:space="preserve"> Song</w:t>
      </w:r>
      <w:r w:rsidRPr="001D436E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1D436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D436E">
        <w:rPr>
          <w:rFonts w:asciiTheme="majorHAnsi" w:hAnsiTheme="majorHAnsi" w:cstheme="majorHAnsi"/>
          <w:sz w:val="24"/>
          <w:szCs w:val="24"/>
        </w:rPr>
        <w:t>Neelesh</w:t>
      </w:r>
      <w:proofErr w:type="spellEnd"/>
      <w:r w:rsidRPr="001D436E">
        <w:rPr>
          <w:rFonts w:asciiTheme="majorHAnsi" w:hAnsiTheme="majorHAnsi" w:cstheme="majorHAnsi"/>
          <w:sz w:val="24"/>
          <w:szCs w:val="24"/>
        </w:rPr>
        <w:t xml:space="preserve"> Sharma</w:t>
      </w:r>
      <w:r w:rsidRPr="001D436E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1D436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D436E">
        <w:rPr>
          <w:rFonts w:ascii="Times New Roman" w:hAnsi="Times New Roman"/>
          <w:sz w:val="24"/>
          <w:szCs w:val="24"/>
        </w:rPr>
        <w:t>Jeong</w:t>
      </w:r>
      <w:proofErr w:type="spellEnd"/>
      <w:r w:rsidRPr="001D436E">
        <w:rPr>
          <w:rFonts w:ascii="Times New Roman" w:hAnsi="Times New Roman"/>
          <w:sz w:val="24"/>
          <w:szCs w:val="24"/>
        </w:rPr>
        <w:t xml:space="preserve"> Hyun Kim</w:t>
      </w:r>
      <w:r w:rsidRPr="001D436E">
        <w:rPr>
          <w:rFonts w:ascii="Times New Roman" w:hAnsi="Times New Roman"/>
          <w:sz w:val="24"/>
          <w:szCs w:val="24"/>
          <w:vertAlign w:val="superscript"/>
        </w:rPr>
        <w:t>1</w:t>
      </w:r>
      <w:r w:rsidRPr="001D4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36E">
        <w:rPr>
          <w:rFonts w:ascii="Times New Roman" w:hAnsi="Times New Roman"/>
          <w:sz w:val="24"/>
          <w:szCs w:val="24"/>
        </w:rPr>
        <w:t>Nameun</w:t>
      </w:r>
      <w:proofErr w:type="spellEnd"/>
      <w:r w:rsidRPr="001D436E">
        <w:rPr>
          <w:rFonts w:ascii="Times New Roman" w:hAnsi="Times New Roman"/>
          <w:sz w:val="24"/>
          <w:szCs w:val="24"/>
        </w:rPr>
        <w:t xml:space="preserve"> Kim</w:t>
      </w:r>
      <w:r w:rsidRPr="001D436E">
        <w:rPr>
          <w:rFonts w:ascii="Times New Roman" w:hAnsi="Times New Roman"/>
          <w:sz w:val="24"/>
          <w:szCs w:val="24"/>
          <w:vertAlign w:val="superscript"/>
        </w:rPr>
        <w:t>1</w:t>
      </w:r>
      <w:r w:rsidRPr="001D436E">
        <w:rPr>
          <w:rFonts w:ascii="Times New Roman" w:hAnsi="Times New Roman"/>
          <w:sz w:val="24"/>
          <w:szCs w:val="24"/>
        </w:rPr>
        <w:t xml:space="preserve">, </w:t>
      </w:r>
      <w:r w:rsidRPr="001D436E">
        <w:rPr>
          <w:rFonts w:asciiTheme="majorHAnsi" w:hAnsiTheme="majorHAnsi" w:cstheme="majorHAnsi"/>
          <w:sz w:val="24"/>
          <w:szCs w:val="24"/>
        </w:rPr>
        <w:t>Sung Jin Lee</w:t>
      </w:r>
      <w:r w:rsidRPr="001D436E">
        <w:rPr>
          <w:rFonts w:asciiTheme="majorHAnsi" w:hAnsiTheme="majorHAnsi" w:cstheme="majorHAnsi"/>
          <w:sz w:val="24"/>
          <w:szCs w:val="24"/>
          <w:vertAlign w:val="superscript"/>
        </w:rPr>
        <w:t>3</w:t>
      </w:r>
      <w:r w:rsidRPr="001D436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D436E">
        <w:rPr>
          <w:rFonts w:ascii="Times New Roman" w:hAnsi="Times New Roman"/>
          <w:sz w:val="24"/>
          <w:szCs w:val="24"/>
        </w:rPr>
        <w:t>Chulwoong</w:t>
      </w:r>
      <w:proofErr w:type="spellEnd"/>
      <w:r w:rsidRPr="001D436E">
        <w:rPr>
          <w:rFonts w:ascii="Times New Roman" w:hAnsi="Times New Roman"/>
          <w:sz w:val="24"/>
          <w:szCs w:val="24"/>
        </w:rPr>
        <w:t xml:space="preserve"> Kang</w:t>
      </w:r>
      <w:r w:rsidRPr="001D436E">
        <w:rPr>
          <w:rFonts w:ascii="Times New Roman" w:hAnsi="Times New Roman"/>
          <w:sz w:val="24"/>
          <w:szCs w:val="24"/>
          <w:vertAlign w:val="superscript"/>
        </w:rPr>
        <w:t>4</w:t>
      </w:r>
      <w:r w:rsidRPr="001D436E">
        <w:rPr>
          <w:rFonts w:ascii="Times New Roman" w:hAnsi="Times New Roman"/>
          <w:sz w:val="24"/>
          <w:szCs w:val="24"/>
        </w:rPr>
        <w:t xml:space="preserve">, </w:t>
      </w:r>
      <w:r w:rsidRPr="001D436E">
        <w:rPr>
          <w:rFonts w:asciiTheme="majorHAnsi" w:hAnsiTheme="majorHAnsi" w:cstheme="majorHAnsi"/>
          <w:sz w:val="24"/>
          <w:szCs w:val="24"/>
        </w:rPr>
        <w:t>Sung Jong Oh</w:t>
      </w:r>
      <w:r w:rsidRPr="001D436E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1D436E">
        <w:rPr>
          <w:rFonts w:asciiTheme="majorHAnsi" w:hAnsiTheme="majorHAnsi" w:cstheme="majorHAnsi"/>
          <w:sz w:val="24"/>
          <w:szCs w:val="24"/>
        </w:rPr>
        <w:t xml:space="preserve"> and Dong </w:t>
      </w:r>
      <w:proofErr w:type="spellStart"/>
      <w:r w:rsidRPr="001D436E">
        <w:rPr>
          <w:rFonts w:asciiTheme="majorHAnsi" w:hAnsiTheme="majorHAnsi" w:cstheme="majorHAnsi"/>
          <w:sz w:val="24"/>
          <w:szCs w:val="24"/>
        </w:rPr>
        <w:t>Kee</w:t>
      </w:r>
      <w:proofErr w:type="spellEnd"/>
      <w:r w:rsidRPr="001D436E">
        <w:rPr>
          <w:rFonts w:asciiTheme="majorHAnsi" w:hAnsiTheme="majorHAnsi" w:cstheme="majorHAnsi"/>
          <w:sz w:val="24"/>
          <w:szCs w:val="24"/>
        </w:rPr>
        <w:t xml:space="preserve"> Jeong</w:t>
      </w:r>
      <w:r w:rsidRPr="001D436E">
        <w:rPr>
          <w:rFonts w:asciiTheme="majorHAnsi" w:hAnsiTheme="majorHAnsi" w:cstheme="majorHAnsi"/>
          <w:sz w:val="24"/>
          <w:szCs w:val="24"/>
          <w:vertAlign w:val="superscript"/>
        </w:rPr>
        <w:t>1,5</w:t>
      </w:r>
      <w:r w:rsidRPr="001D436E">
        <w:rPr>
          <w:rFonts w:asciiTheme="majorHAnsi" w:hAnsiTheme="majorHAnsi" w:cstheme="majorHAnsi"/>
          <w:sz w:val="24"/>
          <w:szCs w:val="24"/>
        </w:rPr>
        <w:t>*</w:t>
      </w:r>
    </w:p>
    <w:p w:rsidR="00D669B3" w:rsidRPr="001D436E" w:rsidRDefault="00D669B3" w:rsidP="00D669B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14D25" w:rsidRPr="00785735" w:rsidRDefault="00C14D25" w:rsidP="00C14D2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85735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1</w:t>
      </w:r>
      <w:r w:rsidRPr="00785735">
        <w:rPr>
          <w:rFonts w:asciiTheme="majorHAnsi" w:hAnsiTheme="majorHAnsi" w:cstheme="majorHAnsi"/>
          <w:sz w:val="24"/>
          <w:szCs w:val="24"/>
          <w:lang w:val="en-GB"/>
        </w:rPr>
        <w:t>Department of Animal Biotechnology, Faculty of Biotechnology, Jeju National University, Jeju</w:t>
      </w:r>
      <w:r>
        <w:rPr>
          <w:rFonts w:asciiTheme="majorHAnsi" w:hAnsiTheme="majorHAnsi" w:cstheme="majorHAnsi"/>
          <w:sz w:val="24"/>
          <w:szCs w:val="24"/>
          <w:lang w:val="en-GB"/>
        </w:rPr>
        <w:t>-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si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>, Jeju-do, South</w:t>
      </w:r>
      <w:r w:rsidRPr="00785735">
        <w:rPr>
          <w:rFonts w:asciiTheme="majorHAnsi" w:hAnsiTheme="majorHAnsi" w:cstheme="majorHAnsi"/>
          <w:sz w:val="24"/>
          <w:szCs w:val="24"/>
          <w:lang w:val="en-GB"/>
        </w:rPr>
        <w:t xml:space="preserve"> Korea</w:t>
      </w:r>
    </w:p>
    <w:p w:rsidR="00C14D25" w:rsidRPr="00785735" w:rsidRDefault="00C14D25" w:rsidP="00C14D2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85735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2</w:t>
      </w:r>
      <w:r w:rsidRPr="00785735">
        <w:rPr>
          <w:rFonts w:asciiTheme="majorHAnsi" w:hAnsiTheme="majorHAnsi" w:cstheme="majorHAnsi"/>
          <w:sz w:val="24"/>
          <w:szCs w:val="24"/>
          <w:lang w:val="en-GB"/>
        </w:rPr>
        <w:t xml:space="preserve">The Animal Genomics and Breeding </w:t>
      </w:r>
      <w:proofErr w:type="spellStart"/>
      <w:r w:rsidRPr="00785735">
        <w:rPr>
          <w:rFonts w:asciiTheme="majorHAnsi" w:hAnsiTheme="majorHAnsi" w:cstheme="majorHAnsi"/>
          <w:sz w:val="24"/>
          <w:szCs w:val="24"/>
          <w:lang w:val="en-GB"/>
        </w:rPr>
        <w:t>Center</w:t>
      </w:r>
      <w:proofErr w:type="spellEnd"/>
      <w:r w:rsidRPr="00785735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785735">
        <w:rPr>
          <w:rFonts w:asciiTheme="majorHAnsi" w:hAnsiTheme="majorHAnsi" w:cstheme="majorHAnsi"/>
          <w:sz w:val="24"/>
          <w:szCs w:val="24"/>
          <w:lang w:val="en-GB"/>
        </w:rPr>
        <w:t>Hankyong</w:t>
      </w:r>
      <w:proofErr w:type="spellEnd"/>
      <w:r w:rsidRPr="00785735">
        <w:rPr>
          <w:rFonts w:asciiTheme="majorHAnsi" w:hAnsiTheme="majorHAnsi" w:cstheme="majorHAnsi"/>
          <w:sz w:val="24"/>
          <w:szCs w:val="24"/>
          <w:lang w:val="en-GB"/>
        </w:rPr>
        <w:t xml:space="preserve"> National University, </w:t>
      </w:r>
      <w:proofErr w:type="spellStart"/>
      <w:r w:rsidRPr="00785735">
        <w:rPr>
          <w:rFonts w:asciiTheme="majorHAnsi" w:hAnsiTheme="majorHAnsi" w:cstheme="majorHAnsi"/>
          <w:sz w:val="24"/>
          <w:szCs w:val="24"/>
          <w:lang w:val="en-GB"/>
        </w:rPr>
        <w:t>Anseong-si</w:t>
      </w:r>
      <w:proofErr w:type="spellEnd"/>
      <w:r w:rsidRPr="00785735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785735">
        <w:rPr>
          <w:rFonts w:asciiTheme="majorHAnsi" w:hAnsiTheme="majorHAnsi" w:cstheme="majorHAnsi"/>
          <w:sz w:val="24"/>
          <w:szCs w:val="24"/>
          <w:lang w:val="en-GB"/>
        </w:rPr>
        <w:t>Gyeonggi</w:t>
      </w:r>
      <w:proofErr w:type="spellEnd"/>
      <w:r w:rsidRPr="00785735">
        <w:rPr>
          <w:rFonts w:asciiTheme="majorHAnsi" w:hAnsiTheme="majorHAnsi" w:cstheme="majorHAnsi"/>
          <w:sz w:val="24"/>
          <w:szCs w:val="24"/>
          <w:lang w:val="en-GB"/>
        </w:rPr>
        <w:t>-do,</w:t>
      </w:r>
      <w:r w:rsidRPr="00DA5004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GB"/>
        </w:rPr>
        <w:t>South</w:t>
      </w:r>
      <w:r w:rsidRPr="00785735">
        <w:rPr>
          <w:rFonts w:asciiTheme="majorHAnsi" w:hAnsiTheme="majorHAnsi" w:cstheme="majorHAnsi"/>
          <w:sz w:val="24"/>
          <w:szCs w:val="24"/>
          <w:lang w:val="en-GB"/>
        </w:rPr>
        <w:t xml:space="preserve"> Korea</w:t>
      </w:r>
    </w:p>
    <w:p w:rsidR="00C14D25" w:rsidRPr="00785735" w:rsidRDefault="00C14D25" w:rsidP="00C14D25">
      <w:pPr>
        <w:pStyle w:val="yiv889071398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lang w:val="en-GB"/>
        </w:rPr>
      </w:pPr>
      <w:r w:rsidRPr="00785735">
        <w:rPr>
          <w:rFonts w:asciiTheme="majorHAnsi" w:hAnsiTheme="majorHAnsi" w:cstheme="majorHAnsi"/>
          <w:vertAlign w:val="superscript"/>
          <w:lang w:val="en-GB"/>
        </w:rPr>
        <w:t>3</w:t>
      </w:r>
      <w:r w:rsidRPr="00785735">
        <w:rPr>
          <w:rFonts w:asciiTheme="majorHAnsi" w:hAnsiTheme="majorHAnsi" w:cstheme="majorHAnsi"/>
          <w:lang w:val="en-GB"/>
        </w:rPr>
        <w:t xml:space="preserve">Department of Animal Biotechnology, College of Animal Bioscience and Technology, </w:t>
      </w:r>
      <w:proofErr w:type="spellStart"/>
      <w:r w:rsidRPr="00785735">
        <w:rPr>
          <w:rFonts w:asciiTheme="majorHAnsi" w:hAnsiTheme="majorHAnsi" w:cstheme="majorHAnsi"/>
          <w:lang w:val="en-GB"/>
        </w:rPr>
        <w:t>Kangwon</w:t>
      </w:r>
      <w:proofErr w:type="spellEnd"/>
      <w:r w:rsidRPr="00785735">
        <w:rPr>
          <w:rFonts w:asciiTheme="majorHAnsi" w:hAnsiTheme="majorHAnsi" w:cstheme="majorHAnsi"/>
          <w:lang w:val="en-GB"/>
        </w:rPr>
        <w:t xml:space="preserve"> National University, </w:t>
      </w:r>
      <w:proofErr w:type="spellStart"/>
      <w:r w:rsidRPr="00785735">
        <w:rPr>
          <w:rFonts w:asciiTheme="majorHAnsi" w:hAnsiTheme="majorHAnsi" w:cstheme="majorHAnsi"/>
          <w:lang w:val="en-GB"/>
        </w:rPr>
        <w:t>Chuncheon</w:t>
      </w:r>
      <w:proofErr w:type="spellEnd"/>
      <w:r w:rsidRPr="00785735">
        <w:rPr>
          <w:rFonts w:asciiTheme="majorHAnsi" w:hAnsiTheme="majorHAnsi" w:cstheme="majorHAnsi"/>
          <w:lang w:val="en-GB"/>
        </w:rPr>
        <w:t xml:space="preserve">, </w:t>
      </w:r>
      <w:r>
        <w:rPr>
          <w:rFonts w:asciiTheme="majorHAnsi" w:hAnsiTheme="majorHAnsi" w:cstheme="majorHAnsi"/>
          <w:lang w:val="en-GB"/>
        </w:rPr>
        <w:t>South</w:t>
      </w:r>
      <w:r w:rsidRPr="00785735">
        <w:rPr>
          <w:rFonts w:asciiTheme="majorHAnsi" w:hAnsiTheme="majorHAnsi" w:cstheme="majorHAnsi"/>
          <w:lang w:val="en-GB"/>
        </w:rPr>
        <w:t xml:space="preserve"> Korea</w:t>
      </w:r>
    </w:p>
    <w:p w:rsidR="00C14D25" w:rsidRPr="00785735" w:rsidRDefault="00C14D25" w:rsidP="00C14D2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85735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4</w:t>
      </w:r>
      <w:r w:rsidRPr="00785735">
        <w:rPr>
          <w:rFonts w:asciiTheme="majorHAnsi" w:hAnsiTheme="majorHAnsi" w:cstheme="majorHAnsi"/>
          <w:sz w:val="24"/>
          <w:szCs w:val="24"/>
          <w:lang w:val="en-GB"/>
        </w:rPr>
        <w:t>Department of Mechanical and System Engineering, College of Engineering, Jeju National University, Jeju</w:t>
      </w:r>
      <w:r>
        <w:rPr>
          <w:rFonts w:asciiTheme="majorHAnsi" w:hAnsiTheme="majorHAnsi" w:cstheme="majorHAnsi"/>
          <w:sz w:val="24"/>
          <w:szCs w:val="24"/>
          <w:lang w:val="en-GB"/>
        </w:rPr>
        <w:t>-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si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>, Jeju-do, South</w:t>
      </w:r>
      <w:r w:rsidRPr="00785735">
        <w:rPr>
          <w:rFonts w:asciiTheme="majorHAnsi" w:hAnsiTheme="majorHAnsi" w:cstheme="majorHAnsi"/>
          <w:sz w:val="24"/>
          <w:szCs w:val="24"/>
          <w:lang w:val="en-GB"/>
        </w:rPr>
        <w:t xml:space="preserve"> Korea</w:t>
      </w:r>
    </w:p>
    <w:p w:rsidR="00C14D25" w:rsidRPr="00785735" w:rsidRDefault="00C14D25" w:rsidP="00C14D2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85735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5</w:t>
      </w:r>
      <w:r w:rsidRPr="00785735">
        <w:rPr>
          <w:rFonts w:asciiTheme="majorHAnsi" w:hAnsiTheme="majorHAnsi" w:cstheme="majorHAnsi"/>
          <w:sz w:val="24"/>
          <w:szCs w:val="24"/>
          <w:lang w:val="en-GB"/>
        </w:rPr>
        <w:t>Sustainable Agriculture Research Institute (SARI), Jeju National University, Jeju</w:t>
      </w:r>
      <w:r>
        <w:rPr>
          <w:rFonts w:asciiTheme="majorHAnsi" w:hAnsiTheme="majorHAnsi" w:cstheme="majorHAnsi"/>
          <w:sz w:val="24"/>
          <w:szCs w:val="24"/>
          <w:lang w:val="en-GB"/>
        </w:rPr>
        <w:t>-</w:t>
      </w:r>
      <w:proofErr w:type="spellStart"/>
      <w:r>
        <w:rPr>
          <w:rFonts w:asciiTheme="majorHAnsi" w:hAnsiTheme="majorHAnsi" w:cstheme="majorHAnsi"/>
          <w:sz w:val="24"/>
          <w:szCs w:val="24"/>
          <w:lang w:val="en-GB"/>
        </w:rPr>
        <w:t>si</w:t>
      </w:r>
      <w:proofErr w:type="spellEnd"/>
      <w:r>
        <w:rPr>
          <w:rFonts w:asciiTheme="majorHAnsi" w:hAnsiTheme="majorHAnsi" w:cstheme="majorHAnsi"/>
          <w:sz w:val="24"/>
          <w:szCs w:val="24"/>
          <w:lang w:val="en-GB"/>
        </w:rPr>
        <w:t>, Jeju-do, South</w:t>
      </w:r>
      <w:r w:rsidRPr="00785735">
        <w:rPr>
          <w:rFonts w:asciiTheme="majorHAnsi" w:hAnsiTheme="majorHAnsi" w:cstheme="majorHAnsi"/>
          <w:sz w:val="24"/>
          <w:szCs w:val="24"/>
          <w:lang w:val="en-GB"/>
        </w:rPr>
        <w:t xml:space="preserve"> Korea</w:t>
      </w:r>
    </w:p>
    <w:p w:rsidR="00D669B3" w:rsidRPr="00C14D25" w:rsidRDefault="00D669B3" w:rsidP="00D669B3">
      <w:pPr>
        <w:spacing w:after="0"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669B3" w:rsidRPr="00EC7413" w:rsidRDefault="00D669B3" w:rsidP="00D669B3">
      <w:pPr>
        <w:spacing w:after="0"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+ Authors have contributed equally</w:t>
      </w:r>
    </w:p>
    <w:p w:rsidR="00D669B3" w:rsidRPr="007652D0" w:rsidRDefault="00D669B3" w:rsidP="00D669B3">
      <w:pPr>
        <w:spacing w:after="0"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669B3" w:rsidRPr="00101316" w:rsidRDefault="00D669B3" w:rsidP="00D669B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01316">
        <w:rPr>
          <w:rFonts w:asciiTheme="majorHAnsi" w:hAnsiTheme="majorHAnsi" w:cstheme="majorHAnsi"/>
          <w:sz w:val="24"/>
          <w:szCs w:val="24"/>
        </w:rPr>
        <w:t xml:space="preserve">*Corresponding author: </w:t>
      </w:r>
    </w:p>
    <w:p w:rsidR="00D669B3" w:rsidRPr="00101316" w:rsidRDefault="00D669B3" w:rsidP="00D669B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01316">
        <w:rPr>
          <w:rFonts w:asciiTheme="majorHAnsi" w:hAnsiTheme="majorHAnsi" w:cstheme="majorHAnsi"/>
          <w:sz w:val="24"/>
          <w:szCs w:val="24"/>
        </w:rPr>
        <w:t xml:space="preserve">Prof. Dong </w:t>
      </w:r>
      <w:proofErr w:type="spellStart"/>
      <w:r w:rsidRPr="00101316">
        <w:rPr>
          <w:rFonts w:asciiTheme="majorHAnsi" w:hAnsiTheme="majorHAnsi" w:cstheme="majorHAnsi"/>
          <w:sz w:val="24"/>
          <w:szCs w:val="24"/>
        </w:rPr>
        <w:t>Kee</w:t>
      </w:r>
      <w:proofErr w:type="spellEnd"/>
      <w:r w:rsidRPr="0010131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01316">
        <w:rPr>
          <w:rFonts w:asciiTheme="majorHAnsi" w:hAnsiTheme="majorHAnsi" w:cstheme="majorHAnsi"/>
          <w:sz w:val="24"/>
          <w:szCs w:val="24"/>
        </w:rPr>
        <w:t>Jeong</w:t>
      </w:r>
      <w:proofErr w:type="spellEnd"/>
      <w:r w:rsidRPr="00101316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D669B3" w:rsidRPr="00101316" w:rsidRDefault="00D669B3" w:rsidP="00D669B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01316">
        <w:rPr>
          <w:rFonts w:asciiTheme="majorHAnsi" w:hAnsiTheme="majorHAnsi" w:cstheme="majorHAnsi"/>
          <w:sz w:val="24"/>
          <w:szCs w:val="24"/>
        </w:rPr>
        <w:t xml:space="preserve">Department of Animal Biotechnology, </w:t>
      </w:r>
    </w:p>
    <w:p w:rsidR="00D669B3" w:rsidRPr="00101316" w:rsidRDefault="00D669B3" w:rsidP="00D669B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01316">
        <w:rPr>
          <w:rFonts w:asciiTheme="majorHAnsi" w:hAnsiTheme="majorHAnsi" w:cstheme="majorHAnsi"/>
          <w:sz w:val="24"/>
          <w:szCs w:val="24"/>
        </w:rPr>
        <w:t>Faculty of Biotechnology, Jeju National University,</w:t>
      </w:r>
    </w:p>
    <w:p w:rsidR="00D669B3" w:rsidRPr="00101316" w:rsidRDefault="00D669B3" w:rsidP="00D669B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101316">
        <w:rPr>
          <w:rFonts w:asciiTheme="majorHAnsi" w:hAnsiTheme="majorHAnsi" w:cstheme="majorHAnsi"/>
          <w:sz w:val="24"/>
          <w:szCs w:val="24"/>
        </w:rPr>
        <w:t>Ara-1 Dong, Jeju-</w:t>
      </w:r>
      <w:r>
        <w:rPr>
          <w:rFonts w:asciiTheme="majorHAnsi" w:hAnsiTheme="majorHAnsi" w:cstheme="majorHAnsi"/>
          <w:sz w:val="24"/>
          <w:szCs w:val="24"/>
        </w:rPr>
        <w:t>Si</w:t>
      </w:r>
      <w:r w:rsidRPr="00101316">
        <w:rPr>
          <w:rFonts w:asciiTheme="majorHAnsi" w:hAnsiTheme="majorHAnsi" w:cstheme="majorHAnsi"/>
          <w:sz w:val="24"/>
          <w:szCs w:val="24"/>
        </w:rPr>
        <w:t>, Jeju-Do 690-756, South Korea</w:t>
      </w:r>
      <w:r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:rsidR="00D669B3" w:rsidRPr="00101316" w:rsidRDefault="00D669B3" w:rsidP="00D669B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101316">
        <w:rPr>
          <w:rFonts w:asciiTheme="majorHAnsi" w:hAnsiTheme="majorHAnsi" w:cstheme="majorHAnsi"/>
          <w:sz w:val="24"/>
          <w:szCs w:val="24"/>
        </w:rPr>
        <w:t>Mobile: +82-10-</w:t>
      </w:r>
      <w:r>
        <w:rPr>
          <w:rFonts w:asciiTheme="majorHAnsi" w:hAnsiTheme="majorHAnsi" w:cstheme="majorHAnsi"/>
          <w:sz w:val="24"/>
          <w:szCs w:val="24"/>
        </w:rPr>
        <w:t>8713-8045,</w:t>
      </w:r>
      <w:r w:rsidRPr="00101316">
        <w:rPr>
          <w:rFonts w:asciiTheme="majorHAnsi" w:hAnsiTheme="majorHAnsi" w:cstheme="majorHAnsi"/>
          <w:sz w:val="24"/>
          <w:szCs w:val="24"/>
        </w:rPr>
        <w:t xml:space="preserve"> Fax: +82-64-725-2403-3331</w:t>
      </w:r>
    </w:p>
    <w:p w:rsidR="00D669B3" w:rsidRPr="00101316" w:rsidRDefault="00D669B3" w:rsidP="00D669B3">
      <w:pPr>
        <w:spacing w:after="0"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101316">
        <w:rPr>
          <w:rFonts w:asciiTheme="majorHAnsi" w:hAnsiTheme="majorHAnsi" w:cstheme="majorHAnsi"/>
          <w:sz w:val="24"/>
          <w:szCs w:val="24"/>
        </w:rPr>
        <w:t xml:space="preserve"> Email: </w:t>
      </w:r>
      <w:hyperlink r:id="rId8" w:history="1">
        <w:r w:rsidRPr="00101316">
          <w:rPr>
            <w:rStyle w:val="Hyperlink"/>
            <w:rFonts w:asciiTheme="majorHAnsi" w:hAnsiTheme="majorHAnsi" w:cstheme="majorHAnsi"/>
            <w:sz w:val="24"/>
            <w:szCs w:val="24"/>
          </w:rPr>
          <w:t>dkjeong@jejunu.ac.kr</w:t>
        </w:r>
      </w:hyperlink>
    </w:p>
    <w:p w:rsidR="00D669B3" w:rsidRPr="00C0137F" w:rsidRDefault="00D669B3" w:rsidP="00D669B3">
      <w:pPr>
        <w:spacing w:line="48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669B3" w:rsidRPr="004435F0" w:rsidTr="009A5CC1">
        <w:tc>
          <w:tcPr>
            <w:tcW w:w="9026" w:type="dxa"/>
          </w:tcPr>
          <w:p w:rsidR="00D669B3" w:rsidRPr="004435F0" w:rsidRDefault="00D669B3" w:rsidP="009A5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5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SUPPLEMENTARY INFORMATION</w:t>
            </w:r>
          </w:p>
        </w:tc>
      </w:tr>
    </w:tbl>
    <w:p w:rsidR="00D669B3" w:rsidRPr="004435F0" w:rsidRDefault="00D669B3" w:rsidP="00D669B3">
      <w:pPr>
        <w:pStyle w:val="ListParagraph"/>
        <w:spacing w:line="240" w:lineRule="auto"/>
        <w:ind w:left="1160"/>
        <w:rPr>
          <w:rFonts w:ascii="Times New Roman" w:hAnsi="Times New Roman"/>
          <w:b/>
          <w:sz w:val="24"/>
          <w:szCs w:val="24"/>
        </w:rPr>
      </w:pPr>
    </w:p>
    <w:p w:rsidR="00D669B3" w:rsidRPr="004435F0" w:rsidRDefault="00D669B3" w:rsidP="00D669B3">
      <w:pPr>
        <w:pStyle w:val="ListParagraph"/>
        <w:widowControl w:val="0"/>
        <w:numPr>
          <w:ilvl w:val="0"/>
          <w:numId w:val="1"/>
        </w:numPr>
        <w:wordWrap w:val="0"/>
        <w:autoSpaceDE w:val="0"/>
        <w:autoSpaceDN w:val="0"/>
        <w:spacing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435F0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4D25" w:rsidRPr="004435F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</w:t>
      </w:r>
      <w:r w:rsidRPr="004435F0">
        <w:rPr>
          <w:rFonts w:ascii="Times New Roman" w:hAnsi="Times New Roman"/>
          <w:b/>
          <w:sz w:val="24"/>
          <w:szCs w:val="24"/>
        </w:rPr>
        <w:t>……………………………..……………..……p.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p w:rsidR="00D669B3" w:rsidRDefault="00D669B3" w:rsidP="00D669B3">
      <w:pPr>
        <w:spacing w:after="0" w:line="480" w:lineRule="auto"/>
        <w:jc w:val="both"/>
        <w:rPr>
          <w:rFonts w:ascii="Times New Roman" w:hAnsi="Times New Roman"/>
        </w:rPr>
      </w:pPr>
    </w:p>
    <w:tbl>
      <w:tblPr>
        <w:tblStyle w:val="LightShading"/>
        <w:tblW w:w="9378" w:type="dxa"/>
        <w:tblLook w:val="04A0" w:firstRow="1" w:lastRow="0" w:firstColumn="1" w:lastColumn="0" w:noHBand="0" w:noVBand="1"/>
      </w:tblPr>
      <w:tblGrid>
        <w:gridCol w:w="1548"/>
        <w:gridCol w:w="2430"/>
        <w:gridCol w:w="1350"/>
        <w:gridCol w:w="1350"/>
        <w:gridCol w:w="1350"/>
        <w:gridCol w:w="1350"/>
      </w:tblGrid>
      <w:tr w:rsidR="00D669B3" w:rsidTr="009A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:rsidR="00D669B3" w:rsidRDefault="00C14D25" w:rsidP="00C14D25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435F0">
              <w:rPr>
                <w:rFonts w:ascii="Times New Roman" w:hAnsi="Times New Roman"/>
                <w:sz w:val="24"/>
                <w:szCs w:val="24"/>
              </w:rPr>
              <w:lastRenderedPageBreak/>
              <w:t>Table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5F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69B3" w:rsidRPr="00D87C1B">
              <w:rPr>
                <w:rFonts w:ascii="Times New Roman" w:hAnsi="Times New Roman"/>
                <w:sz w:val="24"/>
                <w:szCs w:val="24"/>
              </w:rPr>
              <w:t>:</w:t>
            </w:r>
            <w:r w:rsidR="00D6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9B3" w:rsidRPr="00D87C1B">
              <w:rPr>
                <w:rFonts w:ascii="Times New Roman" w:hAnsi="Times New Roman"/>
                <w:b w:val="0"/>
                <w:sz w:val="24"/>
                <w:szCs w:val="24"/>
              </w:rPr>
              <w:t xml:space="preserve">Gene ontology </w:t>
            </w:r>
            <w:r w:rsidR="00D669B3">
              <w:rPr>
                <w:rFonts w:ascii="Times New Roman" w:hAnsi="Times New Roman"/>
                <w:b w:val="0"/>
                <w:sz w:val="24"/>
                <w:szCs w:val="24"/>
              </w:rPr>
              <w:t>analysis suggests</w:t>
            </w:r>
            <w:r w:rsidR="00D669B3" w:rsidRPr="00D87C1B">
              <w:rPr>
                <w:rFonts w:ascii="Times New Roman" w:hAnsi="Times New Roman"/>
                <w:b w:val="0"/>
                <w:sz w:val="24"/>
                <w:szCs w:val="24"/>
              </w:rPr>
              <w:t xml:space="preserve"> the biological process</w:t>
            </w:r>
            <w:r w:rsidR="00D669B3">
              <w:rPr>
                <w:rFonts w:ascii="Times New Roman" w:hAnsi="Times New Roman"/>
                <w:b w:val="0"/>
                <w:sz w:val="24"/>
                <w:szCs w:val="24"/>
              </w:rPr>
              <w:t xml:space="preserve">es associated with functioning </w:t>
            </w:r>
            <w:r w:rsidR="00D669B3" w:rsidRPr="00D87C1B">
              <w:rPr>
                <w:rFonts w:ascii="Times New Roman" w:hAnsi="Times New Roman"/>
                <w:b w:val="0"/>
                <w:sz w:val="24"/>
                <w:szCs w:val="24"/>
              </w:rPr>
              <w:t xml:space="preserve">of </w:t>
            </w:r>
            <w:r w:rsidR="00D669B3">
              <w:rPr>
                <w:rFonts w:ascii="Times New Roman" w:hAnsi="Times New Roman"/>
                <w:b w:val="0"/>
                <w:sz w:val="24"/>
                <w:szCs w:val="24"/>
              </w:rPr>
              <w:t xml:space="preserve">the </w:t>
            </w:r>
            <w:r w:rsidR="00D669B3" w:rsidRPr="00D87C1B">
              <w:rPr>
                <w:rFonts w:ascii="Times New Roman" w:hAnsi="Times New Roman"/>
                <w:b w:val="0"/>
                <w:i/>
                <w:sz w:val="24"/>
                <w:szCs w:val="24"/>
              </w:rPr>
              <w:t>ACAA2</w:t>
            </w:r>
            <w:r w:rsidR="00D669B3" w:rsidRPr="00D87C1B">
              <w:rPr>
                <w:rFonts w:ascii="Times New Roman" w:hAnsi="Times New Roman"/>
                <w:b w:val="0"/>
                <w:sz w:val="24"/>
                <w:szCs w:val="24"/>
              </w:rPr>
              <w:t xml:space="preserve"> and </w:t>
            </w:r>
            <w:r w:rsidR="00D669B3" w:rsidRPr="00D87C1B">
              <w:rPr>
                <w:rFonts w:ascii="Times New Roman" w:hAnsi="Times New Roman"/>
                <w:b w:val="0"/>
                <w:i/>
                <w:sz w:val="24"/>
                <w:szCs w:val="24"/>
              </w:rPr>
              <w:t>ACAT2</w:t>
            </w:r>
            <w:r w:rsidR="00D669B3" w:rsidRPr="00D87C1B">
              <w:rPr>
                <w:rFonts w:ascii="Times New Roman" w:hAnsi="Times New Roman"/>
                <w:b w:val="0"/>
                <w:sz w:val="24"/>
                <w:szCs w:val="24"/>
              </w:rPr>
              <w:t xml:space="preserve"> genes in </w:t>
            </w:r>
            <w:r w:rsidR="00D669B3" w:rsidRPr="00D87C1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Sus scrofa </w:t>
            </w:r>
            <w:r w:rsidR="00D669B3" w:rsidRPr="00D87C1B">
              <w:rPr>
                <w:rFonts w:ascii="Times New Roman" w:hAnsi="Times New Roman"/>
                <w:b w:val="0"/>
                <w:sz w:val="24"/>
                <w:szCs w:val="24"/>
              </w:rPr>
              <w:t>and</w:t>
            </w:r>
            <w:r w:rsidR="00D669B3" w:rsidRPr="00D87C1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Bos taurus.</w:t>
            </w:r>
          </w:p>
        </w:tc>
      </w:tr>
      <w:tr w:rsidR="00D669B3" w:rsidTr="009A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669B3" w:rsidRDefault="00D669B3" w:rsidP="009A5CC1">
            <w:pPr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669B3" w:rsidTr="00067549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nil"/>
            </w:tcBorders>
            <w:shd w:val="clear" w:color="auto" w:fill="auto"/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49">
              <w:rPr>
                <w:rFonts w:ascii="Times New Roman" w:hAnsi="Times New Roman"/>
                <w:bCs w:val="0"/>
                <w:sz w:val="24"/>
                <w:szCs w:val="24"/>
              </w:rPr>
              <w:t>GO Class ID*</w:t>
            </w:r>
          </w:p>
        </w:tc>
        <w:tc>
          <w:tcPr>
            <w:tcW w:w="2430" w:type="dxa"/>
            <w:vMerge w:val="restart"/>
            <w:tcBorders>
              <w:top w:val="single" w:sz="8" w:space="0" w:color="000000" w:themeColor="text1"/>
              <w:bottom w:val="nil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Definitions</w:t>
            </w:r>
          </w:p>
        </w:tc>
        <w:tc>
          <w:tcPr>
            <w:tcW w:w="2700" w:type="dxa"/>
            <w:gridSpan w:val="2"/>
            <w:tcBorders>
              <w:top w:val="single" w:sz="8" w:space="0" w:color="000000" w:themeColor="text1"/>
              <w:bottom w:val="nil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7549">
              <w:rPr>
                <w:rFonts w:ascii="Times New Roman" w:hAnsi="Times New Roman"/>
                <w:b/>
                <w:bCs/>
                <w:sz w:val="24"/>
                <w:szCs w:val="24"/>
              </w:rPr>
              <w:t>Counts**</w:t>
            </w:r>
          </w:p>
        </w:tc>
        <w:tc>
          <w:tcPr>
            <w:tcW w:w="2700" w:type="dxa"/>
            <w:gridSpan w:val="2"/>
            <w:tcBorders>
              <w:top w:val="single" w:sz="8" w:space="0" w:color="000000" w:themeColor="text1"/>
              <w:bottom w:val="nil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7549">
              <w:rPr>
                <w:rFonts w:ascii="Times New Roman" w:hAnsi="Times New Roman"/>
                <w:b/>
                <w:bCs/>
                <w:sz w:val="24"/>
                <w:szCs w:val="24"/>
              </w:rPr>
              <w:t>Fractions***</w:t>
            </w:r>
          </w:p>
        </w:tc>
      </w:tr>
      <w:tr w:rsidR="00D669B3" w:rsidTr="0006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hideMark/>
          </w:tcPr>
          <w:p w:rsidR="00D669B3" w:rsidRDefault="00D669B3" w:rsidP="009A5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 w:themeColor="text1"/>
            </w:tcBorders>
            <w:hideMark/>
          </w:tcPr>
          <w:p w:rsidR="00D669B3" w:rsidRDefault="00D669B3" w:rsidP="009A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Sus Scrofa</w:t>
            </w:r>
          </w:p>
        </w:tc>
        <w:tc>
          <w:tcPr>
            <w:tcW w:w="135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Bos taurus</w:t>
            </w:r>
          </w:p>
        </w:tc>
        <w:tc>
          <w:tcPr>
            <w:tcW w:w="135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Sus Scrofa</w:t>
            </w:r>
          </w:p>
        </w:tc>
        <w:tc>
          <w:tcPr>
            <w:tcW w:w="135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Bos taurus</w:t>
            </w:r>
          </w:p>
        </w:tc>
      </w:tr>
      <w:tr w:rsidR="00D669B3" w:rsidTr="009A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6"/>
            <w:tcBorders>
              <w:top w:val="single" w:sz="8" w:space="0" w:color="000000" w:themeColor="text1"/>
              <w:left w:val="single" w:sz="12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7C1B">
              <w:rPr>
                <w:rFonts w:ascii="Times New Roman" w:hAnsi="Times New Roman"/>
                <w:i/>
                <w:sz w:val="24"/>
                <w:szCs w:val="24"/>
              </w:rPr>
              <w:t>ACAA2</w:t>
            </w:r>
          </w:p>
        </w:tc>
      </w:tr>
      <w:tr w:rsidR="00D669B3" w:rsidTr="009A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12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C1B">
              <w:rPr>
                <w:rFonts w:ascii="Times New Roman" w:hAnsi="Times New Roman"/>
                <w:b w:val="0"/>
                <w:sz w:val="24"/>
                <w:szCs w:val="24"/>
              </w:rPr>
              <w:t>GO:0006915</w:t>
            </w:r>
          </w:p>
        </w:tc>
        <w:tc>
          <w:tcPr>
            <w:tcW w:w="243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apoptosis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36.36%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28.57%</w:t>
            </w:r>
          </w:p>
        </w:tc>
      </w:tr>
      <w:tr w:rsidR="00D669B3" w:rsidTr="009A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12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C1B">
              <w:rPr>
                <w:rFonts w:ascii="Times New Roman" w:hAnsi="Times New Roman"/>
                <w:b w:val="0"/>
                <w:sz w:val="24"/>
                <w:szCs w:val="24"/>
              </w:rPr>
              <w:t>GO:0008152</w:t>
            </w:r>
          </w:p>
        </w:tc>
        <w:tc>
          <w:tcPr>
            <w:tcW w:w="243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metabolism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18.18%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21.43%</w:t>
            </w:r>
          </w:p>
        </w:tc>
      </w:tr>
      <w:tr w:rsidR="00D669B3" w:rsidTr="009A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12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textAlignment w:val="top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C1B">
              <w:rPr>
                <w:rFonts w:ascii="Times New Roman" w:hAnsi="Times New Roman"/>
                <w:b w:val="0"/>
                <w:kern w:val="24"/>
                <w:sz w:val="24"/>
                <w:szCs w:val="24"/>
              </w:rPr>
              <w:t>GO:0006629</w:t>
            </w:r>
          </w:p>
        </w:tc>
        <w:tc>
          <w:tcPr>
            <w:tcW w:w="243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lipid metabolism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14.29%</w:t>
            </w:r>
          </w:p>
        </w:tc>
      </w:tr>
      <w:tr w:rsidR="00D669B3" w:rsidTr="009A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12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C1B">
              <w:rPr>
                <w:rFonts w:ascii="Times New Roman" w:hAnsi="Times New Roman"/>
                <w:b w:val="0"/>
                <w:sz w:val="24"/>
                <w:szCs w:val="24"/>
              </w:rPr>
              <w:t>GO:0016265</w:t>
            </w:r>
          </w:p>
        </w:tc>
        <w:tc>
          <w:tcPr>
            <w:tcW w:w="243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death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18.18%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14.29%</w:t>
            </w:r>
          </w:p>
        </w:tc>
      </w:tr>
      <w:tr w:rsidR="00D669B3" w:rsidTr="009A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12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C1B">
              <w:rPr>
                <w:rFonts w:ascii="Times New Roman" w:hAnsi="Times New Roman"/>
                <w:b w:val="0"/>
                <w:sz w:val="24"/>
                <w:szCs w:val="24"/>
              </w:rPr>
              <w:t>GO:0005739</w:t>
            </w:r>
          </w:p>
        </w:tc>
        <w:tc>
          <w:tcPr>
            <w:tcW w:w="243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mitochondrion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18.18%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14.29%</w:t>
            </w:r>
          </w:p>
        </w:tc>
      </w:tr>
      <w:tr w:rsidR="00D669B3" w:rsidTr="009A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12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C1B">
              <w:rPr>
                <w:rFonts w:ascii="Times New Roman" w:hAnsi="Times New Roman"/>
                <w:b w:val="0"/>
                <w:sz w:val="24"/>
                <w:szCs w:val="24"/>
              </w:rPr>
              <w:t>GO:0042981</w:t>
            </w:r>
          </w:p>
        </w:tc>
        <w:tc>
          <w:tcPr>
            <w:tcW w:w="243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regulation of apoptosis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9.09%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7.14%</w:t>
            </w:r>
          </w:p>
        </w:tc>
      </w:tr>
      <w:tr w:rsidR="00D669B3" w:rsidTr="009A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6"/>
            <w:tcBorders>
              <w:left w:val="single" w:sz="12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7C1B">
              <w:rPr>
                <w:rFonts w:ascii="Times New Roman" w:hAnsi="Times New Roman"/>
                <w:i/>
                <w:sz w:val="24"/>
                <w:szCs w:val="24"/>
              </w:rPr>
              <w:t>ACAT2</w:t>
            </w:r>
          </w:p>
        </w:tc>
      </w:tr>
      <w:tr w:rsidR="00D669B3" w:rsidTr="009A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12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textAlignment w:val="top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C1B">
              <w:rPr>
                <w:rFonts w:ascii="Times New Roman" w:hAnsi="Times New Roman"/>
                <w:b w:val="0"/>
                <w:kern w:val="24"/>
                <w:sz w:val="24"/>
                <w:szCs w:val="24"/>
              </w:rPr>
              <w:t>GO:0008152</w:t>
            </w:r>
          </w:p>
        </w:tc>
        <w:tc>
          <w:tcPr>
            <w:tcW w:w="243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metabolism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50.00%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50.00%</w:t>
            </w:r>
          </w:p>
        </w:tc>
      </w:tr>
      <w:tr w:rsidR="00D669B3" w:rsidTr="009A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12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textAlignment w:val="top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C1B">
              <w:rPr>
                <w:rFonts w:ascii="Times New Roman" w:hAnsi="Times New Roman"/>
                <w:b w:val="0"/>
                <w:kern w:val="24"/>
                <w:sz w:val="24"/>
                <w:szCs w:val="24"/>
              </w:rPr>
              <w:t>GO:0005739</w:t>
            </w:r>
          </w:p>
        </w:tc>
        <w:tc>
          <w:tcPr>
            <w:tcW w:w="243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mitochondrion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25.00%</w:t>
            </w:r>
          </w:p>
        </w:tc>
        <w:tc>
          <w:tcPr>
            <w:tcW w:w="1350" w:type="dxa"/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669B3" w:rsidTr="009A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12" w:space="0" w:color="000000" w:themeColor="text1"/>
              <w:bottom w:val="nil"/>
            </w:tcBorders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textAlignment w:val="top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C1B">
              <w:rPr>
                <w:rFonts w:ascii="Times New Roman" w:hAnsi="Times New Roman"/>
                <w:b w:val="0"/>
                <w:kern w:val="24"/>
                <w:sz w:val="24"/>
                <w:szCs w:val="24"/>
              </w:rPr>
              <w:t>GO:0006629</w:t>
            </w:r>
          </w:p>
        </w:tc>
        <w:tc>
          <w:tcPr>
            <w:tcW w:w="2430" w:type="dxa"/>
            <w:tcBorders>
              <w:bottom w:val="nil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lipid metabolism</w:t>
            </w:r>
          </w:p>
        </w:tc>
        <w:tc>
          <w:tcPr>
            <w:tcW w:w="1350" w:type="dxa"/>
            <w:tcBorders>
              <w:bottom w:val="nil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bottom w:val="nil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bottom w:val="nil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25.00%</w:t>
            </w:r>
          </w:p>
        </w:tc>
        <w:tc>
          <w:tcPr>
            <w:tcW w:w="1350" w:type="dxa"/>
            <w:tcBorders>
              <w:bottom w:val="nil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25.00%</w:t>
            </w:r>
          </w:p>
        </w:tc>
      </w:tr>
      <w:tr w:rsidR="00D669B3" w:rsidTr="009A5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</w:tcBorders>
            <w:hideMark/>
          </w:tcPr>
          <w:p w:rsidR="00D669B3" w:rsidRPr="00D87C1B" w:rsidRDefault="00D669B3" w:rsidP="009A5CC1">
            <w:pPr>
              <w:spacing w:line="480" w:lineRule="auto"/>
              <w:jc w:val="center"/>
              <w:textAlignment w:val="top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7C1B">
              <w:rPr>
                <w:rFonts w:ascii="Times New Roman" w:hAnsi="Times New Roman"/>
                <w:b w:val="0"/>
                <w:kern w:val="24"/>
                <w:sz w:val="24"/>
                <w:szCs w:val="24"/>
              </w:rPr>
              <w:t>GO:0009058</w:t>
            </w:r>
          </w:p>
        </w:tc>
        <w:tc>
          <w:tcPr>
            <w:tcW w:w="2430" w:type="dxa"/>
            <w:tcBorders>
              <w:top w:val="nil"/>
              <w:bottom w:val="single" w:sz="8" w:space="0" w:color="000000" w:themeColor="text1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biosynthesis</w:t>
            </w:r>
          </w:p>
        </w:tc>
        <w:tc>
          <w:tcPr>
            <w:tcW w:w="1350" w:type="dxa"/>
            <w:tcBorders>
              <w:top w:val="nil"/>
              <w:bottom w:val="single" w:sz="8" w:space="0" w:color="000000" w:themeColor="text1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  <w:tcBorders>
              <w:top w:val="nil"/>
              <w:bottom w:val="single" w:sz="8" w:space="0" w:color="000000" w:themeColor="text1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bottom w:val="single" w:sz="8" w:space="0" w:color="000000" w:themeColor="text1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350" w:type="dxa"/>
            <w:tcBorders>
              <w:top w:val="nil"/>
              <w:bottom w:val="single" w:sz="8" w:space="0" w:color="000000" w:themeColor="text1"/>
            </w:tcBorders>
            <w:hideMark/>
          </w:tcPr>
          <w:p w:rsidR="00D669B3" w:rsidRDefault="00D669B3" w:rsidP="009A5C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25.00%</w:t>
            </w:r>
          </w:p>
        </w:tc>
      </w:tr>
      <w:tr w:rsidR="00D669B3" w:rsidTr="009A5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6"/>
            <w:tcBorders>
              <w:top w:val="single" w:sz="8" w:space="0" w:color="000000" w:themeColor="text1"/>
              <w:left w:val="single" w:sz="12" w:space="0" w:color="000000" w:themeColor="text1"/>
              <w:bottom w:val="nil"/>
            </w:tcBorders>
          </w:tcPr>
          <w:p w:rsidR="00D669B3" w:rsidRDefault="00D669B3" w:rsidP="009A5CC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9B3" w:rsidRPr="00EA4C14" w:rsidRDefault="00D669B3" w:rsidP="00D669B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A4C14">
        <w:rPr>
          <w:rFonts w:asciiTheme="majorHAnsi" w:hAnsiTheme="majorHAnsi" w:cstheme="majorHAnsi"/>
          <w:b/>
          <w:sz w:val="24"/>
          <w:szCs w:val="24"/>
        </w:rPr>
        <w:t xml:space="preserve">* </w:t>
      </w:r>
      <w:r w:rsidRPr="00EA4C14">
        <w:rPr>
          <w:rFonts w:asciiTheme="majorHAnsi" w:hAnsiTheme="majorHAnsi" w:cstheme="majorHAnsi"/>
          <w:b/>
          <w:sz w:val="24"/>
          <w:szCs w:val="24"/>
        </w:rPr>
        <w:tab/>
        <w:t xml:space="preserve">Go terms/ class IDs: </w:t>
      </w:r>
      <w:r w:rsidRPr="00EA4C14">
        <w:rPr>
          <w:rFonts w:asciiTheme="majorHAnsi" w:hAnsiTheme="majorHAnsi" w:cstheme="majorHAnsi"/>
          <w:sz w:val="24"/>
          <w:szCs w:val="24"/>
        </w:rPr>
        <w:t>GO terms into each ancestral term are independent of one another. The counted results may be selectively used and percentages recalculated as the selected terms represent a well-covered spectrum of the scope which helps to avoid redundancy and may make best sense for the data set.</w:t>
      </w:r>
    </w:p>
    <w:p w:rsidR="00D669B3" w:rsidRPr="00EA4C14" w:rsidRDefault="00D669B3" w:rsidP="00D669B3">
      <w:pPr>
        <w:rPr>
          <w:rFonts w:asciiTheme="majorHAnsi" w:hAnsiTheme="majorHAnsi" w:cstheme="majorHAnsi"/>
          <w:sz w:val="24"/>
          <w:szCs w:val="24"/>
        </w:rPr>
      </w:pPr>
      <w:r w:rsidRPr="00EA4C14">
        <w:rPr>
          <w:rFonts w:asciiTheme="majorHAnsi" w:hAnsiTheme="majorHAnsi" w:cstheme="majorHAnsi"/>
          <w:b/>
          <w:sz w:val="24"/>
          <w:szCs w:val="24"/>
        </w:rPr>
        <w:t>**</w:t>
      </w:r>
      <w:r w:rsidRPr="00EA4C14">
        <w:rPr>
          <w:rFonts w:asciiTheme="majorHAnsi" w:hAnsiTheme="majorHAnsi" w:cstheme="majorHAnsi"/>
          <w:b/>
          <w:sz w:val="24"/>
          <w:szCs w:val="24"/>
        </w:rPr>
        <w:tab/>
        <w:t>Counts</w:t>
      </w:r>
      <w:r w:rsidRPr="00EA4C14">
        <w:rPr>
          <w:rFonts w:asciiTheme="majorHAnsi" w:hAnsiTheme="majorHAnsi" w:cstheme="majorHAnsi"/>
          <w:b/>
          <w:sz w:val="24"/>
          <w:szCs w:val="24"/>
        </w:rPr>
        <w:tab/>
        <w:t xml:space="preserve">: </w:t>
      </w:r>
      <w:r w:rsidRPr="00EA4C14">
        <w:rPr>
          <w:rFonts w:asciiTheme="majorHAnsi" w:hAnsiTheme="majorHAnsi" w:cstheme="majorHAnsi"/>
          <w:sz w:val="24"/>
          <w:szCs w:val="24"/>
        </w:rPr>
        <w:t xml:space="preserve">Number of similar GOs with the current </w:t>
      </w:r>
      <w:proofErr w:type="gramStart"/>
      <w:r w:rsidRPr="00EA4C14">
        <w:rPr>
          <w:rFonts w:asciiTheme="majorHAnsi" w:hAnsiTheme="majorHAnsi" w:cstheme="majorHAnsi"/>
          <w:sz w:val="24"/>
          <w:szCs w:val="24"/>
        </w:rPr>
        <w:t>GO</w:t>
      </w:r>
      <w:proofErr w:type="gramEnd"/>
    </w:p>
    <w:p w:rsidR="00D669B3" w:rsidRPr="001C06A1" w:rsidRDefault="00D669B3" w:rsidP="00D669B3">
      <w:pPr>
        <w:rPr>
          <w:rFonts w:asciiTheme="majorHAnsi" w:hAnsiTheme="majorHAnsi" w:cstheme="majorHAnsi"/>
          <w:b/>
          <w:sz w:val="24"/>
          <w:szCs w:val="24"/>
        </w:rPr>
      </w:pPr>
      <w:r w:rsidRPr="00EA4C14">
        <w:rPr>
          <w:rFonts w:asciiTheme="majorHAnsi" w:hAnsiTheme="majorHAnsi" w:cstheme="majorHAnsi"/>
          <w:b/>
          <w:sz w:val="24"/>
          <w:szCs w:val="24"/>
        </w:rPr>
        <w:t>***</w:t>
      </w:r>
      <w:r w:rsidRPr="00EA4C14">
        <w:rPr>
          <w:rFonts w:asciiTheme="majorHAnsi" w:hAnsiTheme="majorHAnsi" w:cstheme="majorHAnsi"/>
          <w:b/>
          <w:sz w:val="24"/>
          <w:szCs w:val="24"/>
        </w:rPr>
        <w:tab/>
        <w:t>Fractions</w:t>
      </w:r>
      <w:r w:rsidRPr="00EA4C14">
        <w:rPr>
          <w:rFonts w:asciiTheme="majorHAnsi" w:hAnsiTheme="majorHAnsi" w:cstheme="majorHAnsi"/>
          <w:b/>
          <w:sz w:val="24"/>
          <w:szCs w:val="24"/>
        </w:rPr>
        <w:tab/>
        <w:t xml:space="preserve">: </w:t>
      </w:r>
      <w:r w:rsidRPr="00EA4C14">
        <w:rPr>
          <w:rFonts w:asciiTheme="majorHAnsi" w:hAnsiTheme="majorHAnsi" w:cstheme="majorHAnsi"/>
          <w:sz w:val="24"/>
          <w:szCs w:val="24"/>
        </w:rPr>
        <w:t>Share of biological process shown with respect to GO functions</w:t>
      </w:r>
      <w:bookmarkStart w:id="0" w:name="_GoBack"/>
      <w:bookmarkEnd w:id="0"/>
    </w:p>
    <w:p w:rsidR="00184F64" w:rsidRDefault="00184F64"/>
    <w:sectPr w:rsidR="00184F64" w:rsidSect="002A1A46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A6" w:rsidRDefault="00F057A6" w:rsidP="00D669B3">
      <w:pPr>
        <w:spacing w:after="0" w:line="240" w:lineRule="auto"/>
      </w:pPr>
      <w:r>
        <w:separator/>
      </w:r>
    </w:p>
  </w:endnote>
  <w:endnote w:type="continuationSeparator" w:id="0">
    <w:p w:rsidR="00F057A6" w:rsidRDefault="00F057A6" w:rsidP="00D6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175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A46" w:rsidRDefault="00190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C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1A46" w:rsidRDefault="00F05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A6" w:rsidRDefault="00F057A6" w:rsidP="00D669B3">
      <w:pPr>
        <w:spacing w:after="0" w:line="240" w:lineRule="auto"/>
      </w:pPr>
      <w:r>
        <w:separator/>
      </w:r>
    </w:p>
  </w:footnote>
  <w:footnote w:type="continuationSeparator" w:id="0">
    <w:p w:rsidR="00F057A6" w:rsidRDefault="00F057A6" w:rsidP="00D6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312"/>
    <w:multiLevelType w:val="hybridMultilevel"/>
    <w:tmpl w:val="FA42492E"/>
    <w:lvl w:ilvl="0" w:tplc="C4BCE49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14"/>
    <w:rsid w:val="00067549"/>
    <w:rsid w:val="00184F64"/>
    <w:rsid w:val="00190F93"/>
    <w:rsid w:val="002E6E11"/>
    <w:rsid w:val="00B85359"/>
    <w:rsid w:val="00BC0F95"/>
    <w:rsid w:val="00C14D25"/>
    <w:rsid w:val="00D669B3"/>
    <w:rsid w:val="00EA4C14"/>
    <w:rsid w:val="00F057A6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3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F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F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0F95"/>
    <w:rPr>
      <w:b/>
      <w:bCs/>
    </w:rPr>
  </w:style>
  <w:style w:type="character" w:styleId="Emphasis">
    <w:name w:val="Emphasis"/>
    <w:basedOn w:val="DefaultParagraphFont"/>
    <w:uiPriority w:val="20"/>
    <w:qFormat/>
    <w:rsid w:val="00BC0F95"/>
    <w:rPr>
      <w:i/>
      <w:iCs/>
    </w:rPr>
  </w:style>
  <w:style w:type="paragraph" w:styleId="NoSpacing">
    <w:name w:val="No Spacing"/>
    <w:uiPriority w:val="1"/>
    <w:qFormat/>
    <w:rsid w:val="00BC0F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F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0F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0F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F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0F9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0F9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0F9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0F9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0F9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F9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B3"/>
  </w:style>
  <w:style w:type="paragraph" w:styleId="Footer">
    <w:name w:val="footer"/>
    <w:basedOn w:val="Normal"/>
    <w:link w:val="FooterChar"/>
    <w:uiPriority w:val="99"/>
    <w:unhideWhenUsed/>
    <w:rsid w:val="00D6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B3"/>
  </w:style>
  <w:style w:type="table" w:styleId="LightShading">
    <w:name w:val="Light Shading"/>
    <w:basedOn w:val="TableNormal"/>
    <w:uiPriority w:val="60"/>
    <w:rsid w:val="00D669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669B3"/>
    <w:rPr>
      <w:rFonts w:ascii="Times New Roman" w:hAnsi="Times New Roman" w:cs="Times New Roman" w:hint="default"/>
      <w:color w:val="0000FF"/>
      <w:u w:val="single"/>
    </w:rPr>
  </w:style>
  <w:style w:type="paragraph" w:customStyle="1" w:styleId="yiv8890713989msonormal">
    <w:name w:val="yiv8890713989msonormal"/>
    <w:basedOn w:val="Normal"/>
    <w:rsid w:val="00D66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669B3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6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3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F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F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0F95"/>
    <w:rPr>
      <w:b/>
      <w:bCs/>
    </w:rPr>
  </w:style>
  <w:style w:type="character" w:styleId="Emphasis">
    <w:name w:val="Emphasis"/>
    <w:basedOn w:val="DefaultParagraphFont"/>
    <w:uiPriority w:val="20"/>
    <w:qFormat/>
    <w:rsid w:val="00BC0F95"/>
    <w:rPr>
      <w:i/>
      <w:iCs/>
    </w:rPr>
  </w:style>
  <w:style w:type="paragraph" w:styleId="NoSpacing">
    <w:name w:val="No Spacing"/>
    <w:uiPriority w:val="1"/>
    <w:qFormat/>
    <w:rsid w:val="00BC0F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F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0F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0F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F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0F9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0F9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0F9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0F9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0F9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F9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B3"/>
  </w:style>
  <w:style w:type="paragraph" w:styleId="Footer">
    <w:name w:val="footer"/>
    <w:basedOn w:val="Normal"/>
    <w:link w:val="FooterChar"/>
    <w:uiPriority w:val="99"/>
    <w:unhideWhenUsed/>
    <w:rsid w:val="00D6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B3"/>
  </w:style>
  <w:style w:type="table" w:styleId="LightShading">
    <w:name w:val="Light Shading"/>
    <w:basedOn w:val="TableNormal"/>
    <w:uiPriority w:val="60"/>
    <w:rsid w:val="00D669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669B3"/>
    <w:rPr>
      <w:rFonts w:ascii="Times New Roman" w:hAnsi="Times New Roman" w:cs="Times New Roman" w:hint="default"/>
      <w:color w:val="0000FF"/>
      <w:u w:val="single"/>
    </w:rPr>
  </w:style>
  <w:style w:type="paragraph" w:customStyle="1" w:styleId="yiv8890713989msonormal">
    <w:name w:val="yiv8890713989msonormal"/>
    <w:basedOn w:val="Normal"/>
    <w:rsid w:val="00D66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669B3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6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jeong@jejunu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Simrinder1</dc:creator>
  <cp:keywords/>
  <dc:description/>
  <cp:lastModifiedBy>Simrinder1</cp:lastModifiedBy>
  <cp:revision>5</cp:revision>
  <dcterms:created xsi:type="dcterms:W3CDTF">2014-03-17T13:45:00Z</dcterms:created>
  <dcterms:modified xsi:type="dcterms:W3CDTF">2014-06-23T23:52:00Z</dcterms:modified>
</cp:coreProperties>
</file>