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34" w:rsidRPr="00893F34" w:rsidRDefault="00893F34" w:rsidP="00893F34">
      <w:pPr>
        <w:suppressLineNumbers/>
        <w:spacing w:after="0" w:line="240" w:lineRule="auto"/>
        <w:jc w:val="both"/>
        <w:rPr>
          <w:rFonts w:ascii="Garamond" w:hAnsi="Garamond" w:cs="Times New Roman"/>
          <w:sz w:val="20"/>
          <w:szCs w:val="20"/>
        </w:rPr>
      </w:pPr>
      <w:bookmarkStart w:id="0" w:name="_GoBack"/>
      <w:bookmarkEnd w:id="0"/>
      <w:r w:rsidRPr="00893F34">
        <w:rPr>
          <w:rFonts w:ascii="Garamond" w:hAnsi="Garamond" w:cs="Times New Roman"/>
          <w:b/>
          <w:sz w:val="20"/>
          <w:szCs w:val="20"/>
        </w:rPr>
        <w:t>Table S1:</w:t>
      </w:r>
      <w:r w:rsidRPr="00893F34">
        <w:rPr>
          <w:rFonts w:ascii="Garamond" w:hAnsi="Garamond" w:cs="Times New Roman"/>
          <w:sz w:val="20"/>
          <w:szCs w:val="20"/>
        </w:rPr>
        <w:t xml:space="preserve"> Income and cost parameters used for estimating land expectation values. Site preparation includes shearing, raking, piling, burning, and bedding. Prices of logging residues are half of pulpwood prices. Initial plantation density is 1235 seedlings ha</w:t>
      </w:r>
      <w:r w:rsidRPr="00893F34">
        <w:rPr>
          <w:rFonts w:ascii="Garamond" w:hAnsi="Garamond" w:cs="Times New Roman"/>
          <w:sz w:val="20"/>
          <w:szCs w:val="20"/>
          <w:vertAlign w:val="superscript"/>
        </w:rPr>
        <w:t>-1</w:t>
      </w:r>
      <w:r w:rsidRPr="00893F34">
        <w:rPr>
          <w:rFonts w:ascii="Garamond" w:hAnsi="Garamond" w:cs="Times New Roman"/>
          <w:sz w:val="20"/>
          <w:szCs w:val="20"/>
        </w:rPr>
        <w:t xml:space="preserve"> and site index is 21.4 m at 25</w:t>
      </w:r>
      <w:r w:rsidRPr="00893F34">
        <w:rPr>
          <w:rFonts w:ascii="Garamond" w:hAnsi="Garamond" w:cs="Times New Roman"/>
          <w:sz w:val="20"/>
          <w:szCs w:val="20"/>
          <w:vertAlign w:val="superscript"/>
        </w:rPr>
        <w:t>th</w:t>
      </w:r>
      <w:r w:rsidRPr="00893F34">
        <w:rPr>
          <w:rFonts w:ascii="Garamond" w:hAnsi="Garamond" w:cs="Times New Roman"/>
          <w:sz w:val="20"/>
          <w:szCs w:val="20"/>
        </w:rPr>
        <w:t xml:space="preserve"> year of plantation.</w:t>
      </w:r>
    </w:p>
    <w:tbl>
      <w:tblPr>
        <w:tblStyle w:val="TableGrid"/>
        <w:tblW w:w="9089" w:type="dxa"/>
        <w:tblInd w:w="-5" w:type="dxa"/>
        <w:tblLook w:val="04A0" w:firstRow="1" w:lastRow="0" w:firstColumn="1" w:lastColumn="0" w:noHBand="0" w:noVBand="1"/>
      </w:tblPr>
      <w:tblGrid>
        <w:gridCol w:w="2420"/>
        <w:gridCol w:w="1167"/>
        <w:gridCol w:w="1078"/>
        <w:gridCol w:w="4424"/>
      </w:tblGrid>
      <w:tr w:rsidR="00893F34" w:rsidRPr="00893F34" w:rsidTr="00FC47CC">
        <w:trPr>
          <w:trHeight w:val="40"/>
        </w:trPr>
        <w:tc>
          <w:tcPr>
            <w:tcW w:w="9089" w:type="dxa"/>
            <w:gridSpan w:val="4"/>
            <w:shd w:val="clear" w:color="auto" w:fill="BFBFBF" w:themeFill="background1" w:themeFillShade="BF"/>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Income</w:t>
            </w:r>
          </w:p>
        </w:tc>
      </w:tr>
      <w:tr w:rsidR="00893F34" w:rsidRPr="00893F34" w:rsidTr="00FC47CC">
        <w:trPr>
          <w:trHeight w:val="125"/>
        </w:trPr>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w:t>
            </w:r>
            <w:proofErr w:type="spellStart"/>
            <w:r w:rsidRPr="00893F34">
              <w:rPr>
                <w:rFonts w:ascii="Garamond" w:hAnsi="Garamond" w:cs="Times New Roman"/>
                <w:sz w:val="20"/>
                <w:szCs w:val="20"/>
              </w:rPr>
              <w:t>sawtimber</w:t>
            </w:r>
            <w:proofErr w:type="spellEnd"/>
            <w:r w:rsidRPr="00893F34">
              <w:rPr>
                <w:rFonts w:ascii="Garamond" w:hAnsi="Garamond" w:cs="Times New Roman"/>
                <w:sz w:val="20"/>
                <w:szCs w:val="20"/>
              </w:rPr>
              <w:t xml:space="preserve"> </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29.7 </w:t>
            </w:r>
            <w:r w:rsidRPr="00893F34">
              <w:rPr>
                <w:rFonts w:ascii="Garamond" w:hAnsi="Garamond" w:cs="Times New Roman"/>
                <w:noProof/>
                <w:sz w:val="20"/>
                <w:szCs w:val="20"/>
              </w:rPr>
              <w:t>[4]</w:t>
            </w:r>
            <w:r w:rsidRPr="00893F34">
              <w:rPr>
                <w:rFonts w:ascii="Garamond" w:hAnsi="Garamond" w:cs="Times New Roman"/>
                <w:sz w:val="20"/>
                <w:szCs w:val="20"/>
              </w:rPr>
              <w:t xml:space="preserve"> </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Intensive/non-intensive forest management choices.</w:t>
            </w:r>
          </w:p>
        </w:tc>
      </w:tr>
      <w:tr w:rsidR="00893F34" w:rsidRPr="00893F34" w:rsidTr="00FC47CC">
        <w:trPr>
          <w:trHeight w:val="50"/>
        </w:trPr>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chip-n-saw</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16.7 </w:t>
            </w:r>
            <w:r w:rsidRPr="00893F34">
              <w:rPr>
                <w:rFonts w:ascii="Garamond" w:hAnsi="Garamond" w:cs="Times New Roman"/>
                <w:noProof/>
                <w:sz w:val="20"/>
                <w:szCs w:val="20"/>
              </w:rPr>
              <w:t>[4]</w:t>
            </w:r>
            <w:r w:rsidRPr="00893F34">
              <w:rPr>
                <w:rFonts w:ascii="Garamond" w:hAnsi="Garamond" w:cs="Times New Roman"/>
                <w:sz w:val="20"/>
                <w:szCs w:val="20"/>
              </w:rPr>
              <w:t xml:space="preserve"> </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Intensive/non-intensive forest management choices.</w:t>
            </w:r>
          </w:p>
        </w:tc>
      </w:tr>
      <w:tr w:rsidR="00893F34" w:rsidRPr="00893F34" w:rsidTr="00FC47CC">
        <w:trPr>
          <w:trHeight w:val="50"/>
        </w:trPr>
        <w:tc>
          <w:tcPr>
            <w:tcW w:w="2420" w:type="dxa"/>
          </w:tcPr>
          <w:p w:rsidR="00893F34" w:rsidRPr="00893F34" w:rsidRDefault="00893F34" w:rsidP="007876EE">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w:t>
            </w:r>
            <w:r w:rsidR="007876EE">
              <w:rPr>
                <w:rFonts w:ascii="Garamond" w:hAnsi="Garamond" w:cs="Times New Roman"/>
                <w:sz w:val="20"/>
                <w:szCs w:val="20"/>
              </w:rPr>
              <w:t>p</w:t>
            </w:r>
            <w:r w:rsidRPr="00893F34">
              <w:rPr>
                <w:rFonts w:ascii="Garamond" w:hAnsi="Garamond" w:cs="Times New Roman"/>
                <w:sz w:val="20"/>
                <w:szCs w:val="20"/>
              </w:rPr>
              <w:t>ulpwood</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10.96 </w:t>
            </w:r>
            <w:r w:rsidRPr="00893F34">
              <w:rPr>
                <w:rFonts w:ascii="Garamond" w:hAnsi="Garamond" w:cs="Times New Roman"/>
                <w:noProof/>
                <w:sz w:val="20"/>
                <w:szCs w:val="20"/>
              </w:rPr>
              <w:t>[4]</w:t>
            </w:r>
            <w:r w:rsidRPr="00893F34">
              <w:rPr>
                <w:rFonts w:ascii="Garamond" w:hAnsi="Garamond" w:cs="Times New Roman"/>
                <w:sz w:val="20"/>
                <w:szCs w:val="20"/>
              </w:rPr>
              <w:t xml:space="preserve"> </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Intensive/non-intensive forest management choices.</w:t>
            </w:r>
          </w:p>
        </w:tc>
      </w:tr>
      <w:tr w:rsidR="00893F34" w:rsidRPr="00893F34" w:rsidTr="00FC47CC">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logging residues</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5.4 </w:t>
            </w:r>
            <w:r w:rsidRPr="00893F34">
              <w:rPr>
                <w:rFonts w:ascii="Garamond" w:hAnsi="Garamond" w:cs="Times New Roman"/>
                <w:noProof/>
                <w:sz w:val="20"/>
                <w:szCs w:val="20"/>
              </w:rPr>
              <w:t>[4]</w:t>
            </w:r>
            <w:r w:rsidRPr="00893F34">
              <w:rPr>
                <w:rFonts w:ascii="Garamond" w:hAnsi="Garamond" w:cs="Times New Roman"/>
                <w:sz w:val="20"/>
                <w:szCs w:val="20"/>
              </w:rPr>
              <w:t xml:space="preserve"> </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Intensive/non-intensive forest management choices.</w:t>
            </w:r>
          </w:p>
        </w:tc>
      </w:tr>
      <w:tr w:rsidR="00893F34" w:rsidRPr="00893F34" w:rsidTr="00FC47CC">
        <w:tc>
          <w:tcPr>
            <w:tcW w:w="9089" w:type="dxa"/>
            <w:gridSpan w:val="4"/>
            <w:shd w:val="clear" w:color="auto" w:fill="BFBFBF" w:themeFill="background1" w:themeFillShade="BF"/>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Cost</w:t>
            </w:r>
          </w:p>
        </w:tc>
      </w:tr>
      <w:tr w:rsidR="00893F34" w:rsidRPr="00893F34" w:rsidTr="00FC47CC">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Tax</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7.4 </w:t>
            </w:r>
            <w:r w:rsidRPr="00893F34">
              <w:rPr>
                <w:rFonts w:ascii="Garamond" w:hAnsi="Garamond" w:cs="Times New Roman"/>
                <w:noProof/>
                <w:sz w:val="20"/>
                <w:szCs w:val="20"/>
              </w:rPr>
              <w:t>[4]</w:t>
            </w:r>
            <w:r w:rsidRPr="00893F34">
              <w:rPr>
                <w:rFonts w:ascii="Garamond" w:hAnsi="Garamond" w:cs="Times New Roman"/>
                <w:sz w:val="20"/>
                <w:szCs w:val="20"/>
              </w:rPr>
              <w:t xml:space="preserve"> </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ha</w:t>
            </w:r>
            <w:r w:rsidRPr="00893F34">
              <w:rPr>
                <w:rFonts w:ascii="Garamond" w:hAnsi="Garamond" w:cs="Times New Roman"/>
                <w:sz w:val="20"/>
                <w:szCs w:val="20"/>
                <w:vertAlign w:val="superscript"/>
              </w:rPr>
              <w:t>-1</w:t>
            </w:r>
            <w:r w:rsidRPr="00893F34">
              <w:rPr>
                <w:rFonts w:ascii="Garamond" w:hAnsi="Garamond" w:cs="Times New Roman"/>
                <w:sz w:val="20"/>
                <w:szCs w:val="20"/>
              </w:rPr>
              <w:t xml:space="preserve"> yr</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Intensive/non-intensive forest management choices.</w:t>
            </w:r>
          </w:p>
        </w:tc>
      </w:tr>
      <w:tr w:rsidR="00893F34" w:rsidRPr="00893F34" w:rsidTr="00FC47CC">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Management</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25.9 </w:t>
            </w:r>
            <w:r w:rsidRPr="00893F34">
              <w:rPr>
                <w:rFonts w:ascii="Garamond" w:hAnsi="Garamond" w:cs="Times New Roman"/>
                <w:noProof/>
                <w:sz w:val="20"/>
                <w:szCs w:val="20"/>
              </w:rPr>
              <w:t>[4]</w:t>
            </w:r>
            <w:r w:rsidRPr="00893F34">
              <w:rPr>
                <w:rFonts w:ascii="Garamond" w:hAnsi="Garamond" w:cs="Times New Roman"/>
                <w:sz w:val="20"/>
                <w:szCs w:val="20"/>
              </w:rPr>
              <w:t xml:space="preserve"> </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ha</w:t>
            </w:r>
            <w:r w:rsidRPr="00893F34">
              <w:rPr>
                <w:rFonts w:ascii="Garamond" w:hAnsi="Garamond" w:cs="Times New Roman"/>
                <w:sz w:val="20"/>
                <w:szCs w:val="20"/>
                <w:vertAlign w:val="superscript"/>
              </w:rPr>
              <w:t>-1</w:t>
            </w:r>
            <w:r w:rsidRPr="00893F34">
              <w:rPr>
                <w:rFonts w:ascii="Garamond" w:hAnsi="Garamond" w:cs="Times New Roman"/>
                <w:sz w:val="20"/>
                <w:szCs w:val="20"/>
              </w:rPr>
              <w:t xml:space="preserve"> yr</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Intensive/non-intensive forest management choices.</w:t>
            </w:r>
          </w:p>
        </w:tc>
      </w:tr>
      <w:tr w:rsidR="00893F34" w:rsidRPr="00893F34" w:rsidTr="00FC47CC">
        <w:trPr>
          <w:trHeight w:val="45"/>
        </w:trPr>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Site preparation</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997.8 </w:t>
            </w:r>
            <w:r w:rsidRPr="00893F34">
              <w:rPr>
                <w:rFonts w:ascii="Garamond" w:hAnsi="Garamond" w:cs="Times New Roman"/>
                <w:noProof/>
                <w:sz w:val="20"/>
                <w:szCs w:val="20"/>
              </w:rPr>
              <w:t>[4]</w:t>
            </w:r>
            <w:r w:rsidRPr="00893F34">
              <w:rPr>
                <w:rFonts w:ascii="Garamond" w:hAnsi="Garamond" w:cs="Times New Roman"/>
                <w:sz w:val="20"/>
                <w:szCs w:val="20"/>
              </w:rPr>
              <w:t xml:space="preserve"> </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ha</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For non-intensive forest management: $911.3/ha.</w:t>
            </w:r>
          </w:p>
        </w:tc>
      </w:tr>
      <w:tr w:rsidR="00893F34" w:rsidRPr="00893F34" w:rsidTr="00FC47CC">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Planting</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172.9 </w:t>
            </w:r>
            <w:r w:rsidRPr="00893F34">
              <w:rPr>
                <w:rFonts w:ascii="Garamond" w:hAnsi="Garamond" w:cs="Times New Roman"/>
                <w:noProof/>
                <w:sz w:val="20"/>
                <w:szCs w:val="20"/>
              </w:rPr>
              <w:t>[4]</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ha</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Intensive/non-intensive forest management choices.</w:t>
            </w:r>
          </w:p>
        </w:tc>
      </w:tr>
      <w:tr w:rsidR="00893F34" w:rsidRPr="00893F34" w:rsidTr="00FC47CC">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Herbicide treatment</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86.5 </w:t>
            </w:r>
            <w:r w:rsidRPr="00893F34">
              <w:rPr>
                <w:rFonts w:ascii="Garamond" w:hAnsi="Garamond" w:cs="Times New Roman"/>
                <w:noProof/>
                <w:sz w:val="20"/>
                <w:szCs w:val="20"/>
              </w:rPr>
              <w:t>[4]</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ha</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Only applicable for intensive forest management.</w:t>
            </w:r>
          </w:p>
        </w:tc>
      </w:tr>
      <w:tr w:rsidR="00893F34" w:rsidRPr="00893F34" w:rsidTr="00FC47CC">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Fertilization @ year 2</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148.3 </w:t>
            </w:r>
            <w:r w:rsidRPr="00893F34">
              <w:rPr>
                <w:rFonts w:ascii="Garamond" w:hAnsi="Garamond" w:cs="Times New Roman"/>
                <w:noProof/>
                <w:sz w:val="20"/>
                <w:szCs w:val="20"/>
              </w:rPr>
              <w:t>[4]</w:t>
            </w:r>
            <w:r w:rsidRPr="00893F34">
              <w:rPr>
                <w:rFonts w:ascii="Garamond" w:hAnsi="Garamond" w:cs="Times New Roman"/>
                <w:sz w:val="20"/>
                <w:szCs w:val="20"/>
              </w:rPr>
              <w:t xml:space="preserve"> </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ha</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Only applicable for intensive forest management.</w:t>
            </w:r>
          </w:p>
        </w:tc>
      </w:tr>
      <w:tr w:rsidR="00893F34" w:rsidRPr="00893F34" w:rsidTr="00FC47CC">
        <w:tc>
          <w:tcPr>
            <w:tcW w:w="2420"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      Fertilization @ year 12</w:t>
            </w:r>
          </w:p>
        </w:tc>
        <w:tc>
          <w:tcPr>
            <w:tcW w:w="116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197.6 </w:t>
            </w:r>
            <w:r w:rsidRPr="00893F34">
              <w:rPr>
                <w:rFonts w:ascii="Garamond" w:hAnsi="Garamond" w:cs="Times New Roman"/>
                <w:noProof/>
                <w:sz w:val="20"/>
                <w:szCs w:val="20"/>
              </w:rPr>
              <w:t>[4]</w:t>
            </w:r>
            <w:r w:rsidRPr="00893F34">
              <w:rPr>
                <w:rFonts w:ascii="Garamond" w:hAnsi="Garamond" w:cs="Times New Roman"/>
                <w:sz w:val="20"/>
                <w:szCs w:val="20"/>
              </w:rPr>
              <w:t xml:space="preserve"> </w:t>
            </w:r>
          </w:p>
        </w:tc>
        <w:tc>
          <w:tcPr>
            <w:tcW w:w="1078"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ha</w:t>
            </w:r>
            <w:r w:rsidRPr="00893F34">
              <w:rPr>
                <w:rFonts w:ascii="Garamond" w:hAnsi="Garamond" w:cs="Times New Roman"/>
                <w:sz w:val="20"/>
                <w:szCs w:val="20"/>
                <w:vertAlign w:val="superscript"/>
              </w:rPr>
              <w:t>-1</w:t>
            </w:r>
          </w:p>
        </w:tc>
        <w:tc>
          <w:tcPr>
            <w:tcW w:w="442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Only applicable for intensive forest management.</w:t>
            </w:r>
          </w:p>
        </w:tc>
      </w:tr>
    </w:tbl>
    <w:p w:rsidR="00835591" w:rsidRPr="00893F34" w:rsidRDefault="00835591" w:rsidP="00893F34">
      <w:pPr>
        <w:spacing w:after="0" w:line="240" w:lineRule="auto"/>
        <w:rPr>
          <w:rFonts w:ascii="Garamond" w:hAnsi="Garamond"/>
          <w:sz w:val="20"/>
          <w:szCs w:val="20"/>
        </w:rPr>
      </w:pPr>
    </w:p>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b/>
          <w:sz w:val="20"/>
          <w:szCs w:val="20"/>
        </w:rPr>
        <w:t xml:space="preserve">Table S2: </w:t>
      </w:r>
      <w:r w:rsidRPr="00893F34">
        <w:rPr>
          <w:rFonts w:ascii="Garamond" w:hAnsi="Garamond" w:cs="Times New Roman"/>
          <w:sz w:val="20"/>
          <w:szCs w:val="20"/>
        </w:rPr>
        <w:t xml:space="preserve">Cost parameters used for estimating production cost of generated electricity and produced ethanol. The annual capacity of an ethanol mill is 291 million liters of ethanol </w:t>
      </w:r>
      <w:r w:rsidRPr="00893F34">
        <w:rPr>
          <w:rFonts w:ascii="Garamond" w:hAnsi="Garamond" w:cs="Times New Roman"/>
          <w:noProof/>
          <w:sz w:val="20"/>
          <w:szCs w:val="20"/>
        </w:rPr>
        <w:t>[38]</w:t>
      </w:r>
      <w:r w:rsidRPr="00893F34">
        <w:rPr>
          <w:rFonts w:ascii="Garamond" w:hAnsi="Garamond" w:cs="Times New Roman"/>
          <w:sz w:val="20"/>
          <w:szCs w:val="20"/>
        </w:rPr>
        <w:t>. Unit production cost of ethanol produced in this study is based on this capacity only.</w:t>
      </w:r>
      <w:r w:rsidRPr="00893F34">
        <w:rPr>
          <w:rFonts w:ascii="Garamond" w:hAnsi="Garamond"/>
          <w:color w:val="0D0D0D" w:themeColor="text1" w:themeTint="F2"/>
          <w:sz w:val="20"/>
          <w:szCs w:val="20"/>
        </w:rPr>
        <w:t xml:space="preserve"> </w:t>
      </w:r>
    </w:p>
    <w:tbl>
      <w:tblPr>
        <w:tblStyle w:val="TableGrid"/>
        <w:tblW w:w="8786" w:type="dxa"/>
        <w:tblInd w:w="-5" w:type="dxa"/>
        <w:tblLook w:val="04A0" w:firstRow="1" w:lastRow="0" w:firstColumn="1" w:lastColumn="0" w:noHBand="0" w:noVBand="1"/>
      </w:tblPr>
      <w:tblGrid>
        <w:gridCol w:w="5574"/>
        <w:gridCol w:w="1117"/>
        <w:gridCol w:w="2095"/>
      </w:tblGrid>
      <w:tr w:rsidR="00893F34" w:rsidRPr="00893F34" w:rsidTr="00FC47CC">
        <w:tc>
          <w:tcPr>
            <w:tcW w:w="5574" w:type="dxa"/>
            <w:shd w:val="clear" w:color="auto" w:fill="BFBFBF" w:themeFill="background1" w:themeFillShade="BF"/>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Cost Points</w:t>
            </w:r>
          </w:p>
        </w:tc>
        <w:tc>
          <w:tcPr>
            <w:tcW w:w="1117" w:type="dxa"/>
            <w:shd w:val="clear" w:color="auto" w:fill="BFBFBF" w:themeFill="background1" w:themeFillShade="BF"/>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Values</w:t>
            </w:r>
          </w:p>
        </w:tc>
        <w:tc>
          <w:tcPr>
            <w:tcW w:w="2095" w:type="dxa"/>
            <w:shd w:val="clear" w:color="auto" w:fill="BFBFBF" w:themeFill="background1" w:themeFillShade="BF"/>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Units</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Stumpage price of pulpwood</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10.96 </w:t>
            </w:r>
            <w:r w:rsidRPr="00893F34">
              <w:rPr>
                <w:rFonts w:ascii="Garamond" w:hAnsi="Garamond" w:cs="Times New Roman"/>
                <w:noProof/>
                <w:sz w:val="20"/>
                <w:szCs w:val="20"/>
              </w:rPr>
              <w:t>[4]</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Stumpage price of logging residues</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5.48 </w:t>
            </w:r>
            <w:r w:rsidRPr="00893F34">
              <w:rPr>
                <w:rFonts w:ascii="Garamond" w:hAnsi="Garamond" w:cs="Times New Roman"/>
                <w:noProof/>
                <w:sz w:val="20"/>
                <w:szCs w:val="20"/>
              </w:rPr>
              <w:t>[4]</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Chipping cost</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7.16 </w:t>
            </w:r>
            <w:r w:rsidRPr="00893F34">
              <w:rPr>
                <w:rFonts w:ascii="Garamond" w:hAnsi="Garamond" w:cs="Times New Roman"/>
                <w:noProof/>
                <w:sz w:val="20"/>
                <w:szCs w:val="20"/>
              </w:rPr>
              <w:t>[1]</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Logging cost of feedstock</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10.47 </w:t>
            </w:r>
            <w:r w:rsidRPr="00893F34">
              <w:rPr>
                <w:rFonts w:ascii="Garamond" w:hAnsi="Garamond" w:cs="Times New Roman"/>
                <w:noProof/>
                <w:sz w:val="20"/>
                <w:szCs w:val="20"/>
              </w:rPr>
              <w:t>[4]</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Transportation of feedstock</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0.096 </w:t>
            </w:r>
            <w:r w:rsidRPr="00893F34">
              <w:rPr>
                <w:rFonts w:ascii="Garamond" w:hAnsi="Garamond" w:cs="Times New Roman"/>
                <w:noProof/>
                <w:sz w:val="20"/>
                <w:szCs w:val="20"/>
              </w:rPr>
              <w:t>[4]</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 xml:space="preserve">-1 </w:t>
            </w:r>
            <w:r w:rsidRPr="00893F34">
              <w:rPr>
                <w:rFonts w:ascii="Garamond" w:hAnsi="Garamond" w:cs="Times New Roman"/>
                <w:sz w:val="20"/>
                <w:szCs w:val="20"/>
              </w:rPr>
              <w:t>km</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Conversion of feedstock to wood pellets</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50 </w:t>
            </w:r>
            <w:r w:rsidRPr="00893F34">
              <w:rPr>
                <w:rFonts w:ascii="Garamond" w:hAnsi="Garamond" w:cs="Times New Roman"/>
                <w:noProof/>
                <w:sz w:val="20"/>
                <w:szCs w:val="20"/>
              </w:rPr>
              <w:t>[5]</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r w:rsidRPr="00893F34">
              <w:rPr>
                <w:rFonts w:ascii="Garamond" w:hAnsi="Garamond" w:cs="Times New Roman"/>
                <w:sz w:val="20"/>
                <w:szCs w:val="20"/>
              </w:rPr>
              <w:t xml:space="preserve"> of wood pellets</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Transportation of wood pellets</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0.096 </w:t>
            </w:r>
            <w:r w:rsidRPr="00893F34">
              <w:rPr>
                <w:rFonts w:ascii="Garamond" w:hAnsi="Garamond" w:cs="Times New Roman"/>
                <w:noProof/>
                <w:sz w:val="20"/>
                <w:szCs w:val="20"/>
              </w:rPr>
              <w:t>[4]</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 xml:space="preserve">-1 </w:t>
            </w:r>
            <w:r w:rsidRPr="00893F34">
              <w:rPr>
                <w:rFonts w:ascii="Garamond" w:hAnsi="Garamond" w:cs="Times New Roman"/>
                <w:sz w:val="20"/>
                <w:szCs w:val="20"/>
              </w:rPr>
              <w:t>km</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Electricity production at the power plant from wood pellets</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6.9 </w:t>
            </w:r>
            <w:r w:rsidRPr="00893F34">
              <w:rPr>
                <w:rFonts w:ascii="Garamond" w:hAnsi="Garamond" w:cs="Times New Roman"/>
                <w:noProof/>
                <w:sz w:val="20"/>
                <w:szCs w:val="20"/>
              </w:rPr>
              <w:t>[3]</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kWh</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Electricity production at the power plant from wood chips</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6.9 </w:t>
            </w:r>
            <w:r w:rsidRPr="00893F34">
              <w:rPr>
                <w:rFonts w:ascii="Garamond" w:hAnsi="Garamond" w:cs="Times New Roman"/>
                <w:noProof/>
                <w:sz w:val="20"/>
                <w:szCs w:val="20"/>
              </w:rPr>
              <w:t>[3]</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kWh</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Conversion of feedstock to ethanol with co-generated electricity</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0.401 </w:t>
            </w:r>
            <w:r w:rsidRPr="00893F34">
              <w:rPr>
                <w:rFonts w:ascii="Garamond" w:hAnsi="Garamond" w:cs="Times New Roman"/>
                <w:noProof/>
                <w:sz w:val="20"/>
                <w:szCs w:val="20"/>
              </w:rPr>
              <w:t>[2]</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l</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Conversion of feedstock to ethanol without co-generated electricity</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0.52 </w:t>
            </w:r>
            <w:r w:rsidRPr="00893F34">
              <w:rPr>
                <w:rFonts w:ascii="Garamond" w:hAnsi="Garamond" w:cs="Times New Roman"/>
                <w:noProof/>
                <w:sz w:val="20"/>
                <w:szCs w:val="20"/>
              </w:rPr>
              <w:t>[2]</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l</w:t>
            </w:r>
            <w:r w:rsidRPr="00893F34">
              <w:rPr>
                <w:rFonts w:ascii="Garamond" w:hAnsi="Garamond" w:cs="Times New Roman"/>
                <w:sz w:val="20"/>
                <w:szCs w:val="20"/>
                <w:vertAlign w:val="superscript"/>
              </w:rPr>
              <w:t>-1</w:t>
            </w:r>
          </w:p>
        </w:tc>
      </w:tr>
      <w:tr w:rsidR="00893F34" w:rsidRPr="00893F34" w:rsidTr="00FC47CC">
        <w:tc>
          <w:tcPr>
            <w:tcW w:w="5574"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Transportation of ethanol</w:t>
            </w:r>
          </w:p>
        </w:tc>
        <w:tc>
          <w:tcPr>
            <w:tcW w:w="1117"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xml:space="preserve">0.096 </w:t>
            </w:r>
            <w:r w:rsidRPr="00893F34">
              <w:rPr>
                <w:rFonts w:ascii="Garamond" w:hAnsi="Garamond" w:cs="Times New Roman"/>
                <w:noProof/>
                <w:sz w:val="20"/>
                <w:szCs w:val="20"/>
              </w:rPr>
              <w:t>[4]</w:t>
            </w:r>
          </w:p>
        </w:tc>
        <w:tc>
          <w:tcPr>
            <w:tcW w:w="2095" w:type="dxa"/>
          </w:tcPr>
          <w:p w:rsidR="00893F34" w:rsidRPr="00893F34" w:rsidRDefault="00893F34" w:rsidP="00893F34">
            <w:pPr>
              <w:spacing w:after="0" w:line="240" w:lineRule="auto"/>
              <w:jc w:val="both"/>
              <w:rPr>
                <w:rFonts w:ascii="Garamond" w:hAnsi="Garamond" w:cs="Times New Roman"/>
                <w:sz w:val="20"/>
                <w:szCs w:val="20"/>
              </w:rPr>
            </w:pPr>
            <w:r w:rsidRPr="00893F34">
              <w:rPr>
                <w:rFonts w:ascii="Garamond" w:hAnsi="Garamond" w:cs="Times New Roman"/>
                <w:sz w:val="20"/>
                <w:szCs w:val="20"/>
              </w:rPr>
              <w:t>$ Mg</w:t>
            </w:r>
            <w:r w:rsidRPr="00893F34">
              <w:rPr>
                <w:rFonts w:ascii="Garamond" w:hAnsi="Garamond" w:cs="Times New Roman"/>
                <w:sz w:val="20"/>
                <w:szCs w:val="20"/>
                <w:vertAlign w:val="superscript"/>
              </w:rPr>
              <w:t>-1</w:t>
            </w:r>
            <w:r w:rsidRPr="00893F34">
              <w:rPr>
                <w:rFonts w:ascii="Garamond" w:hAnsi="Garamond" w:cs="Times New Roman"/>
                <w:sz w:val="20"/>
                <w:szCs w:val="20"/>
              </w:rPr>
              <w:t>km</w:t>
            </w:r>
            <w:r w:rsidRPr="00893F34">
              <w:rPr>
                <w:rFonts w:ascii="Garamond" w:hAnsi="Garamond" w:cs="Times New Roman"/>
                <w:sz w:val="20"/>
                <w:szCs w:val="20"/>
                <w:vertAlign w:val="superscript"/>
              </w:rPr>
              <w:t>-1</w:t>
            </w:r>
          </w:p>
        </w:tc>
      </w:tr>
    </w:tbl>
    <w:p w:rsidR="00893F34" w:rsidRPr="00893F34" w:rsidRDefault="00893F34" w:rsidP="00893F34">
      <w:pPr>
        <w:spacing w:after="0" w:line="240" w:lineRule="auto"/>
        <w:rPr>
          <w:rFonts w:ascii="Garamond" w:hAnsi="Garamond"/>
          <w:sz w:val="20"/>
          <w:szCs w:val="20"/>
        </w:rPr>
      </w:pPr>
    </w:p>
    <w:p w:rsidR="00893F34" w:rsidRPr="00893F34" w:rsidRDefault="00893F34" w:rsidP="00893F34">
      <w:pPr>
        <w:spacing w:after="0" w:line="240" w:lineRule="auto"/>
        <w:rPr>
          <w:rFonts w:ascii="Garamond" w:hAnsi="Garamond"/>
          <w:b/>
          <w:sz w:val="20"/>
          <w:szCs w:val="20"/>
        </w:rPr>
      </w:pPr>
      <w:r w:rsidRPr="00893F34">
        <w:rPr>
          <w:rFonts w:ascii="Garamond" w:hAnsi="Garamond"/>
          <w:b/>
          <w:sz w:val="20"/>
          <w:szCs w:val="20"/>
        </w:rPr>
        <w:t>References</w:t>
      </w:r>
    </w:p>
    <w:p w:rsidR="00893F34" w:rsidRPr="00893F34" w:rsidRDefault="00893F34" w:rsidP="00893F34">
      <w:pPr>
        <w:pStyle w:val="ListParagraph"/>
        <w:numPr>
          <w:ilvl w:val="0"/>
          <w:numId w:val="1"/>
        </w:numPr>
        <w:spacing w:after="0" w:line="240" w:lineRule="auto"/>
        <w:rPr>
          <w:rFonts w:ascii="Garamond" w:hAnsi="Garamond"/>
          <w:sz w:val="20"/>
          <w:szCs w:val="20"/>
        </w:rPr>
      </w:pPr>
      <w:r w:rsidRPr="00893F34">
        <w:rPr>
          <w:rFonts w:ascii="Garamond" w:hAnsi="Garamond"/>
          <w:noProof/>
          <w:sz w:val="20"/>
          <w:szCs w:val="20"/>
        </w:rPr>
        <w:t>ORNL (2011) U.S. Billion-Ton Update: Biomass Supply for a Bioenergy and Bioproducts Industry. Oak Ridge National Laboratory. Oak Ridge, TN.</w:t>
      </w:r>
    </w:p>
    <w:p w:rsidR="00893F34" w:rsidRPr="00893F34" w:rsidRDefault="00893F34" w:rsidP="00893F34">
      <w:pPr>
        <w:pStyle w:val="ListParagraph"/>
        <w:numPr>
          <w:ilvl w:val="0"/>
          <w:numId w:val="1"/>
        </w:numPr>
        <w:spacing w:after="0" w:line="240" w:lineRule="auto"/>
        <w:rPr>
          <w:rFonts w:ascii="Garamond" w:hAnsi="Garamond"/>
          <w:sz w:val="20"/>
          <w:szCs w:val="20"/>
        </w:rPr>
      </w:pPr>
      <w:r w:rsidRPr="00893F34">
        <w:rPr>
          <w:rFonts w:ascii="Garamond" w:hAnsi="Garamond"/>
          <w:noProof/>
          <w:sz w:val="20"/>
          <w:szCs w:val="20"/>
        </w:rPr>
        <w:t>Humbird D, Davis R, Tao L, Kinchin C, Hsu D, et al. (2011) Process Design and Economics for Biochemical Conversion of Lignocellulosic Biomass to Ethanol: Dilute-Acid Pretreatment and Enzymatic Hydrolysis of Corn Stover. National Renewable Energy Laboratory. Golden, CO.</w:t>
      </w:r>
    </w:p>
    <w:p w:rsidR="00893F34" w:rsidRPr="00893F34" w:rsidRDefault="00893F34" w:rsidP="00893F34">
      <w:pPr>
        <w:pStyle w:val="ListParagraph"/>
        <w:numPr>
          <w:ilvl w:val="0"/>
          <w:numId w:val="1"/>
        </w:numPr>
        <w:spacing w:after="0" w:line="240" w:lineRule="auto"/>
        <w:rPr>
          <w:rFonts w:ascii="Garamond" w:hAnsi="Garamond"/>
          <w:sz w:val="20"/>
          <w:szCs w:val="20"/>
        </w:rPr>
      </w:pPr>
      <w:r w:rsidRPr="00893F34">
        <w:rPr>
          <w:rFonts w:ascii="Garamond" w:hAnsi="Garamond"/>
          <w:noProof/>
          <w:sz w:val="20"/>
          <w:szCs w:val="20"/>
        </w:rPr>
        <w:t xml:space="preserve">USEIA (2012) Levelized Cost of New Generation Resoruces. United States Energy Information Adminstration. Washington, DC. Available: </w:t>
      </w:r>
      <w:hyperlink r:id="rId5" w:history="1">
        <w:r w:rsidRPr="00893F34">
          <w:rPr>
            <w:rStyle w:val="Hyperlink"/>
            <w:rFonts w:ascii="Garamond" w:hAnsi="Garamond"/>
            <w:noProof/>
            <w:sz w:val="20"/>
            <w:szCs w:val="20"/>
          </w:rPr>
          <w:t>http://www.eia.gov/forecasts/aeo/er/electricity_generation.cfm</w:t>
        </w:r>
      </w:hyperlink>
      <w:r w:rsidRPr="00893F34">
        <w:rPr>
          <w:rFonts w:ascii="Garamond" w:hAnsi="Garamond"/>
          <w:noProof/>
          <w:sz w:val="20"/>
          <w:szCs w:val="20"/>
        </w:rPr>
        <w:t>.</w:t>
      </w:r>
    </w:p>
    <w:p w:rsidR="00893F34" w:rsidRPr="00893F34" w:rsidRDefault="00893F34" w:rsidP="00893F34">
      <w:pPr>
        <w:pStyle w:val="NormalWeb"/>
        <w:numPr>
          <w:ilvl w:val="0"/>
          <w:numId w:val="1"/>
        </w:numPr>
        <w:suppressLineNumbers/>
        <w:spacing w:before="0" w:beforeAutospacing="0" w:after="0" w:afterAutospacing="0"/>
        <w:rPr>
          <w:rFonts w:ascii="Garamond" w:hAnsi="Garamond"/>
          <w:noProof/>
          <w:sz w:val="20"/>
          <w:szCs w:val="20"/>
        </w:rPr>
      </w:pPr>
      <w:r w:rsidRPr="00893F34">
        <w:rPr>
          <w:rFonts w:ascii="Garamond" w:hAnsi="Garamond"/>
          <w:noProof/>
          <w:sz w:val="20"/>
          <w:szCs w:val="20"/>
        </w:rPr>
        <w:t xml:space="preserve">TMS (2013) Southeastern Average Stumpage Prices. Timber Mart South, Warnell School of Forestry and Natural Resoruces, University of Georgia. </w:t>
      </w:r>
    </w:p>
    <w:p w:rsidR="00893F34" w:rsidRDefault="00893F34" w:rsidP="0035063F">
      <w:pPr>
        <w:pStyle w:val="ListParagraph"/>
        <w:numPr>
          <w:ilvl w:val="0"/>
          <w:numId w:val="1"/>
        </w:numPr>
        <w:spacing w:after="0" w:line="240" w:lineRule="auto"/>
        <w:rPr>
          <w:rFonts w:ascii="Garamond" w:hAnsi="Garamond"/>
          <w:sz w:val="20"/>
          <w:szCs w:val="20"/>
        </w:rPr>
      </w:pPr>
      <w:r w:rsidRPr="00893F34">
        <w:rPr>
          <w:rFonts w:ascii="Garamond" w:hAnsi="Garamond"/>
          <w:noProof/>
          <w:sz w:val="20"/>
          <w:szCs w:val="20"/>
        </w:rPr>
        <w:t>Qian, Y., McDow, W. (2013) The Wood Pellet Value Chain: An Economic Analysis of the Wood Pellet Supply Chain from the Southeast United States to European Consumers. U.S. Endowment for Forestry &amp; Communities, Inc. Greenville, SC.</w:t>
      </w:r>
    </w:p>
    <w:sectPr w:rsidR="00893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D721D"/>
    <w:multiLevelType w:val="hybridMultilevel"/>
    <w:tmpl w:val="5F8CF4F8"/>
    <w:lvl w:ilvl="0" w:tplc="7B8AF96C">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6B"/>
    <w:rsid w:val="007876EE"/>
    <w:rsid w:val="00835591"/>
    <w:rsid w:val="00893F34"/>
    <w:rsid w:val="00C8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56AA7-25B7-42CE-BDCC-56015E30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34"/>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F34"/>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F34"/>
    <w:pPr>
      <w:ind w:left="720"/>
      <w:contextualSpacing/>
    </w:pPr>
  </w:style>
  <w:style w:type="character" w:styleId="Hyperlink">
    <w:name w:val="Hyperlink"/>
    <w:basedOn w:val="DefaultParagraphFont"/>
    <w:uiPriority w:val="99"/>
    <w:unhideWhenUsed/>
    <w:rsid w:val="00893F34"/>
    <w:rPr>
      <w:color w:val="0563C1" w:themeColor="hyperlink"/>
      <w:u w:val="single"/>
    </w:rPr>
  </w:style>
  <w:style w:type="paragraph" w:styleId="NormalWeb">
    <w:name w:val="Normal (Web)"/>
    <w:basedOn w:val="Normal"/>
    <w:uiPriority w:val="99"/>
    <w:unhideWhenUsed/>
    <w:rsid w:val="00893F3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a.gov/forecasts/aeo/er/electricity_generatio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2890</Characters>
  <Application>Microsoft Office Word</Application>
  <DocSecurity>0</DocSecurity>
  <Lines>24</Lines>
  <Paragraphs>6</Paragraphs>
  <ScaleCrop>false</ScaleCrop>
  <Company>Microsoft</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 Dwivedi</dc:creator>
  <cp:keywords/>
  <dc:description/>
  <cp:lastModifiedBy>Puneet Dwivedi</cp:lastModifiedBy>
  <cp:revision>4</cp:revision>
  <dcterms:created xsi:type="dcterms:W3CDTF">2014-05-27T16:38:00Z</dcterms:created>
  <dcterms:modified xsi:type="dcterms:W3CDTF">2014-05-27T20:39:00Z</dcterms:modified>
</cp:coreProperties>
</file>