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69" w:rsidRPr="00A54A23" w:rsidRDefault="00E17569" w:rsidP="00E1756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Appendix </w:t>
      </w:r>
      <w:r w:rsidR="00F566EB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5</w:t>
      </w:r>
      <w:r w:rsidRPr="00A54A23">
        <w:rPr>
          <w:rFonts w:ascii="Times New Roman" w:hAnsi="Times New Roman"/>
          <w:sz w:val="20"/>
        </w:rPr>
        <w:t>a.</w:t>
      </w:r>
    </w:p>
    <w:p w:rsidR="00E17569" w:rsidRPr="00A54A23" w:rsidRDefault="00E17569" w:rsidP="00E17569">
      <w:pPr>
        <w:rPr>
          <w:rFonts w:ascii="Times New Roman" w:hAnsi="Times New Roman"/>
          <w:sz w:val="20"/>
        </w:rPr>
      </w:pPr>
      <w:r w:rsidRPr="00A54A23">
        <w:rPr>
          <w:rFonts w:ascii="Times New Roman" w:hAnsi="Times New Roman"/>
          <w:sz w:val="20"/>
        </w:rPr>
        <w:t xml:space="preserve">Comparison between the results of the complete case analysis and the analysis using 10 datasets derived using multiple imputation: the association between eGFR and </w:t>
      </w:r>
      <w:r>
        <w:rPr>
          <w:rFonts w:ascii="Times New Roman" w:hAnsi="Times New Roman"/>
          <w:sz w:val="20"/>
        </w:rPr>
        <w:t>inpatient</w:t>
      </w:r>
      <w:r w:rsidRPr="00A54A23">
        <w:rPr>
          <w:rFonts w:ascii="Times New Roman" w:hAnsi="Times New Roman"/>
          <w:sz w:val="20"/>
        </w:rPr>
        <w:t xml:space="preserve"> coronary angiography in patients with non-ST-</w:t>
      </w:r>
      <w:r>
        <w:rPr>
          <w:rFonts w:ascii="Times New Roman" w:hAnsi="Times New Roman"/>
          <w:sz w:val="20"/>
        </w:rPr>
        <w:t>e</w:t>
      </w:r>
      <w:r w:rsidRPr="00A54A23">
        <w:rPr>
          <w:rFonts w:ascii="Times New Roman" w:hAnsi="Times New Roman"/>
          <w:sz w:val="20"/>
        </w:rPr>
        <w:t xml:space="preserve">levation </w:t>
      </w:r>
      <w:r>
        <w:rPr>
          <w:rFonts w:ascii="Times New Roman" w:hAnsi="Times New Roman"/>
          <w:sz w:val="20"/>
        </w:rPr>
        <w:t>a</w:t>
      </w:r>
      <w:r w:rsidRPr="00A54A23">
        <w:rPr>
          <w:rFonts w:ascii="Times New Roman" w:hAnsi="Times New Roman"/>
          <w:sz w:val="20"/>
        </w:rPr>
        <w:t xml:space="preserve">cute </w:t>
      </w:r>
      <w:r>
        <w:rPr>
          <w:rFonts w:ascii="Times New Roman" w:hAnsi="Times New Roman"/>
          <w:sz w:val="20"/>
        </w:rPr>
        <w:t>c</w:t>
      </w:r>
      <w:r w:rsidRPr="00A54A23">
        <w:rPr>
          <w:rFonts w:ascii="Times New Roman" w:hAnsi="Times New Roman"/>
          <w:sz w:val="20"/>
        </w:rPr>
        <w:t xml:space="preserve">oronary </w:t>
      </w:r>
      <w:r>
        <w:rPr>
          <w:rFonts w:ascii="Times New Roman" w:hAnsi="Times New Roman"/>
          <w:sz w:val="20"/>
        </w:rPr>
        <w:t>s</w:t>
      </w:r>
      <w:r w:rsidRPr="00A54A23">
        <w:rPr>
          <w:rFonts w:ascii="Times New Roman" w:hAnsi="Times New Roman"/>
          <w:sz w:val="20"/>
        </w:rPr>
        <w:t>yndrome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565"/>
        <w:gridCol w:w="1948"/>
        <w:gridCol w:w="1260"/>
        <w:gridCol w:w="1997"/>
        <w:gridCol w:w="1256"/>
      </w:tblGrid>
      <w:tr w:rsidR="00E17569" w:rsidRPr="00196E3F" w:rsidTr="00F566EB">
        <w:tc>
          <w:tcPr>
            <w:tcW w:w="142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eGFR (ml/minute/1.73m</w:t>
            </w:r>
            <w:r w:rsidRPr="00196E3F">
              <w:rPr>
                <w:rFonts w:ascii="Times New Roman" w:hAnsi="Times New Roman"/>
                <w:sz w:val="18"/>
                <w:vertAlign w:val="superscript"/>
              </w:rPr>
              <w:t>2</w:t>
            </w:r>
            <w:r w:rsidRPr="00196E3F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 xml:space="preserve"> Multivariable Adjusted </w:t>
            </w:r>
          </w:p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OR- complete case analysis</w:t>
            </w:r>
          </w:p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 xml:space="preserve"> (95%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96E3F">
              <w:rPr>
                <w:rFonts w:ascii="Times New Roman" w:hAnsi="Times New Roman"/>
                <w:sz w:val="18"/>
              </w:rPr>
              <w:t>CI)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P-value</w:t>
            </w:r>
          </w:p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(Wald)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 xml:space="preserve">Multivariable Adjusted </w:t>
            </w:r>
          </w:p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OR- multiple imputation</w:t>
            </w:r>
          </w:p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(95%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96E3F">
              <w:rPr>
                <w:rFonts w:ascii="Times New Roman" w:hAnsi="Times New Roman"/>
                <w:sz w:val="18"/>
              </w:rPr>
              <w:t>CI) **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 xml:space="preserve">P-value </w:t>
            </w:r>
          </w:p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(Wald)</w:t>
            </w:r>
          </w:p>
        </w:tc>
      </w:tr>
      <w:tr w:rsidR="00E17569" w:rsidRPr="00196E3F" w:rsidTr="00F566EB">
        <w:tc>
          <w:tcPr>
            <w:tcW w:w="1421" w:type="pct"/>
            <w:tcBorders>
              <w:top w:val="single" w:sz="4" w:space="0" w:color="auto"/>
              <w:bottom w:val="nil"/>
              <w:right w:val="nil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&gt;90</w:t>
            </w:r>
          </w:p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17569" w:rsidRPr="00196E3F" w:rsidTr="005B221D">
        <w:tc>
          <w:tcPr>
            <w:tcW w:w="1421" w:type="pct"/>
            <w:tcBorders>
              <w:top w:val="nil"/>
              <w:bottom w:val="nil"/>
              <w:right w:val="nil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60-90</w:t>
            </w:r>
          </w:p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82 (0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71-0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94)</w:t>
            </w:r>
          </w:p>
        </w:tc>
        <w:tc>
          <w:tcPr>
            <w:tcW w:w="698" w:type="pct"/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 xml:space="preserve">  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126</w:t>
            </w:r>
          </w:p>
        </w:tc>
        <w:tc>
          <w:tcPr>
            <w:tcW w:w="1106" w:type="pct"/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89 (0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79-1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00)</w:t>
            </w:r>
          </w:p>
        </w:tc>
        <w:tc>
          <w:tcPr>
            <w:tcW w:w="697" w:type="pct"/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 xml:space="preserve">  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054</w:t>
            </w:r>
          </w:p>
        </w:tc>
      </w:tr>
      <w:tr w:rsidR="00E17569" w:rsidRPr="00196E3F" w:rsidTr="005B221D">
        <w:tc>
          <w:tcPr>
            <w:tcW w:w="1421" w:type="pct"/>
            <w:tcBorders>
              <w:top w:val="nil"/>
              <w:bottom w:val="nil"/>
              <w:right w:val="nil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45-59</w:t>
            </w:r>
          </w:p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67 (0</w:t>
            </w:r>
            <w:r>
              <w:rPr>
                <w:rFonts w:ascii="Times New Roman" w:hAnsi="Times New Roman"/>
                <w:sz w:val="18"/>
              </w:rPr>
              <w:t>.5</w:t>
            </w:r>
            <w:r w:rsidRPr="00196E3F">
              <w:rPr>
                <w:rFonts w:ascii="Times New Roman" w:hAnsi="Times New Roman"/>
                <w:sz w:val="18"/>
              </w:rPr>
              <w:t>5-0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81)</w:t>
            </w:r>
          </w:p>
        </w:tc>
        <w:tc>
          <w:tcPr>
            <w:tcW w:w="698" w:type="pct"/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 xml:space="preserve">  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003</w:t>
            </w:r>
          </w:p>
        </w:tc>
        <w:tc>
          <w:tcPr>
            <w:tcW w:w="1106" w:type="pct"/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76 (0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65-0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89)</w:t>
            </w:r>
          </w:p>
        </w:tc>
        <w:tc>
          <w:tcPr>
            <w:tcW w:w="697" w:type="pct"/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 xml:space="preserve">  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001</w:t>
            </w:r>
          </w:p>
        </w:tc>
      </w:tr>
      <w:tr w:rsidR="00E17569" w:rsidRPr="00196E3F" w:rsidTr="005B221D">
        <w:tc>
          <w:tcPr>
            <w:tcW w:w="1421" w:type="pct"/>
            <w:tcBorders>
              <w:top w:val="nil"/>
              <w:bottom w:val="nil"/>
              <w:right w:val="nil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30-44</w:t>
            </w:r>
          </w:p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58 (0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48-0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70)</w:t>
            </w:r>
          </w:p>
        </w:tc>
        <w:tc>
          <w:tcPr>
            <w:tcW w:w="698" w:type="pct"/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&lt;0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001</w:t>
            </w:r>
          </w:p>
        </w:tc>
        <w:tc>
          <w:tcPr>
            <w:tcW w:w="1106" w:type="pct"/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63 (0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54-0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73)</w:t>
            </w:r>
          </w:p>
        </w:tc>
        <w:tc>
          <w:tcPr>
            <w:tcW w:w="697" w:type="pct"/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&lt;0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001</w:t>
            </w:r>
          </w:p>
        </w:tc>
      </w:tr>
      <w:tr w:rsidR="00E17569" w:rsidRPr="00196E3F" w:rsidTr="00525FEC">
        <w:tc>
          <w:tcPr>
            <w:tcW w:w="1421" w:type="pct"/>
            <w:tcBorders>
              <w:top w:val="nil"/>
              <w:bottom w:val="nil"/>
              <w:right w:val="nil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15-29</w:t>
            </w:r>
          </w:p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38 (0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31-0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47)</w:t>
            </w:r>
          </w:p>
        </w:tc>
        <w:tc>
          <w:tcPr>
            <w:tcW w:w="698" w:type="pct"/>
            <w:tcBorders>
              <w:bottom w:val="nil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&lt;0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001</w:t>
            </w:r>
          </w:p>
        </w:tc>
        <w:tc>
          <w:tcPr>
            <w:tcW w:w="1106" w:type="pct"/>
            <w:tcBorders>
              <w:bottom w:val="nil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39 (0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33-0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47)</w:t>
            </w:r>
          </w:p>
        </w:tc>
        <w:tc>
          <w:tcPr>
            <w:tcW w:w="697" w:type="pct"/>
            <w:tcBorders>
              <w:bottom w:val="nil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&lt;0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001</w:t>
            </w:r>
          </w:p>
        </w:tc>
      </w:tr>
      <w:tr w:rsidR="00E17569" w:rsidRPr="00196E3F" w:rsidTr="00525FEC">
        <w:tc>
          <w:tcPr>
            <w:tcW w:w="1421" w:type="pct"/>
            <w:tcBorders>
              <w:top w:val="nil"/>
              <w:bottom w:val="single" w:sz="4" w:space="0" w:color="auto"/>
              <w:right w:val="nil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&lt;15</w:t>
            </w:r>
          </w:p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26 (0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19-0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35)</w:t>
            </w:r>
          </w:p>
        </w:tc>
        <w:tc>
          <w:tcPr>
            <w:tcW w:w="698" w:type="pct"/>
            <w:tcBorders>
              <w:top w:val="nil"/>
              <w:bottom w:val="single" w:sz="4" w:space="0" w:color="auto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&lt;0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001</w:t>
            </w: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31 (0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26-0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38)</w:t>
            </w:r>
          </w:p>
        </w:tc>
        <w:tc>
          <w:tcPr>
            <w:tcW w:w="697" w:type="pct"/>
            <w:tcBorders>
              <w:top w:val="nil"/>
              <w:bottom w:val="single" w:sz="4" w:space="0" w:color="auto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&lt;0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001</w:t>
            </w:r>
          </w:p>
        </w:tc>
      </w:tr>
    </w:tbl>
    <w:p w:rsidR="00E17569" w:rsidRPr="001A3331" w:rsidRDefault="00E17569" w:rsidP="00E17569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*</w:t>
      </w:r>
      <w:r w:rsidRPr="001A3331">
        <w:rPr>
          <w:rFonts w:ascii="Times New Roman" w:hAnsi="Times New Roman"/>
          <w:sz w:val="16"/>
        </w:rPr>
        <w:t>Multivariable Model adjusted for age, eth</w:t>
      </w:r>
      <w:r>
        <w:rPr>
          <w:rFonts w:ascii="Times New Roman" w:hAnsi="Times New Roman"/>
          <w:sz w:val="16"/>
        </w:rPr>
        <w:t xml:space="preserve">nicity, gender, IMD score, </w:t>
      </w:r>
      <w:r w:rsidRPr="001A3331">
        <w:rPr>
          <w:rFonts w:ascii="Times New Roman" w:hAnsi="Times New Roman"/>
          <w:sz w:val="16"/>
        </w:rPr>
        <w:t>systolic blood pressure, heart rate, haemoglobin,</w:t>
      </w:r>
      <w:r>
        <w:rPr>
          <w:rFonts w:ascii="Times New Roman" w:hAnsi="Times New Roman"/>
          <w:sz w:val="16"/>
        </w:rPr>
        <w:t xml:space="preserve"> peak troponin,</w:t>
      </w:r>
      <w:r w:rsidRPr="001A3331">
        <w:rPr>
          <w:rFonts w:ascii="Times New Roman" w:hAnsi="Times New Roman"/>
          <w:sz w:val="16"/>
        </w:rPr>
        <w:t xml:space="preserve"> ECG diagnosis, history of angina, </w:t>
      </w:r>
      <w:r>
        <w:rPr>
          <w:rFonts w:ascii="Times New Roman" w:hAnsi="Times New Roman"/>
          <w:sz w:val="16"/>
        </w:rPr>
        <w:t>hyperlipidaemia</w:t>
      </w:r>
      <w:r w:rsidRPr="001A3331">
        <w:rPr>
          <w:rFonts w:ascii="Times New Roman" w:hAnsi="Times New Roman"/>
          <w:sz w:val="16"/>
        </w:rPr>
        <w:t>, hypertension, peripheral vascular disease, cerebrovascular disease, chronic obstructive airways disease, congestive cardiac failure, previous percutaneous coronary intervention, previous coronary artery bypass graft,   previous myocardial infarction, diabetes, current smoking status and hospital</w:t>
      </w:r>
    </w:p>
    <w:p w:rsidR="00E17569" w:rsidRDefault="00E17569" w:rsidP="00E17569">
      <w:pPr>
        <w:rPr>
          <w:rFonts w:ascii="Times New Roman" w:hAnsi="Times New Roman"/>
          <w:sz w:val="16"/>
        </w:rPr>
      </w:pPr>
      <w:r w:rsidRPr="001A3331">
        <w:rPr>
          <w:rFonts w:ascii="Times New Roman" w:hAnsi="Times New Roman"/>
          <w:sz w:val="16"/>
        </w:rPr>
        <w:t>Abbreviations: OR=odds ratio; CI=confidence interval; eGFR= estimated glomerular filtration rate</w:t>
      </w:r>
    </w:p>
    <w:p w:rsidR="00E17569" w:rsidRDefault="00E17569" w:rsidP="00E17569">
      <w:pPr>
        <w:rPr>
          <w:rFonts w:ascii="Times New Roman" w:hAnsi="Times New Roman"/>
          <w:sz w:val="18"/>
        </w:rPr>
      </w:pPr>
    </w:p>
    <w:p w:rsidR="00E17569" w:rsidRPr="00A54A23" w:rsidRDefault="00E17569" w:rsidP="00E1756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Appendix</w:t>
      </w:r>
      <w:r w:rsidR="00F566EB">
        <w:rPr>
          <w:rFonts w:ascii="Times New Roman" w:hAnsi="Times New Roman"/>
          <w:sz w:val="20"/>
        </w:rPr>
        <w:t xml:space="preserve"> S</w:t>
      </w:r>
      <w:r>
        <w:rPr>
          <w:rFonts w:ascii="Times New Roman" w:hAnsi="Times New Roman"/>
          <w:sz w:val="20"/>
        </w:rPr>
        <w:t>5</w:t>
      </w:r>
      <w:r w:rsidRPr="00A54A23">
        <w:rPr>
          <w:rFonts w:ascii="Times New Roman" w:hAnsi="Times New Roman"/>
          <w:sz w:val="20"/>
        </w:rPr>
        <w:t>b.</w:t>
      </w:r>
    </w:p>
    <w:p w:rsidR="00E17569" w:rsidRPr="00A54A23" w:rsidRDefault="00E17569" w:rsidP="00E17569">
      <w:pPr>
        <w:rPr>
          <w:rFonts w:ascii="Times New Roman" w:hAnsi="Times New Roman"/>
          <w:sz w:val="20"/>
        </w:rPr>
      </w:pPr>
      <w:r w:rsidRPr="00A54A23">
        <w:rPr>
          <w:rFonts w:ascii="Times New Roman" w:hAnsi="Times New Roman"/>
          <w:sz w:val="20"/>
        </w:rPr>
        <w:t>Comparison between the results of the complete case analysis and the analysis using 10 datasets derived using multiple imputation: the association between inpatient revascularisation and mortality, compared with medical management</w:t>
      </w:r>
      <w:r>
        <w:rPr>
          <w:rFonts w:ascii="Times New Roman" w:hAnsi="Times New Roman"/>
          <w:sz w:val="20"/>
        </w:rPr>
        <w:t xml:space="preserve"> after inpatient coronary angiography</w:t>
      </w:r>
      <w:r w:rsidRPr="00A54A23">
        <w:rPr>
          <w:rFonts w:ascii="Times New Roman" w:hAnsi="Times New Roman"/>
          <w:sz w:val="20"/>
        </w:rPr>
        <w:t xml:space="preserve"> in patients with non-ST-</w:t>
      </w:r>
      <w:r>
        <w:rPr>
          <w:rFonts w:ascii="Times New Roman" w:hAnsi="Times New Roman"/>
          <w:sz w:val="20"/>
        </w:rPr>
        <w:t>e</w:t>
      </w:r>
      <w:r w:rsidRPr="00A54A23">
        <w:rPr>
          <w:rFonts w:ascii="Times New Roman" w:hAnsi="Times New Roman"/>
          <w:sz w:val="20"/>
        </w:rPr>
        <w:t xml:space="preserve">levation </w:t>
      </w:r>
      <w:r>
        <w:rPr>
          <w:rFonts w:ascii="Times New Roman" w:hAnsi="Times New Roman"/>
          <w:sz w:val="20"/>
        </w:rPr>
        <w:t>a</w:t>
      </w:r>
      <w:r w:rsidRPr="00A54A23">
        <w:rPr>
          <w:rFonts w:ascii="Times New Roman" w:hAnsi="Times New Roman"/>
          <w:sz w:val="20"/>
        </w:rPr>
        <w:t xml:space="preserve">cute </w:t>
      </w:r>
      <w:r>
        <w:rPr>
          <w:rFonts w:ascii="Times New Roman" w:hAnsi="Times New Roman"/>
          <w:sz w:val="20"/>
        </w:rPr>
        <w:t>c</w:t>
      </w:r>
      <w:r w:rsidRPr="00A54A23">
        <w:rPr>
          <w:rFonts w:ascii="Times New Roman" w:hAnsi="Times New Roman"/>
          <w:sz w:val="20"/>
        </w:rPr>
        <w:t xml:space="preserve">oronary </w:t>
      </w:r>
      <w:r>
        <w:rPr>
          <w:rFonts w:ascii="Times New Roman" w:hAnsi="Times New Roman"/>
          <w:sz w:val="20"/>
        </w:rPr>
        <w:t>s</w:t>
      </w:r>
      <w:r w:rsidRPr="00A54A23">
        <w:rPr>
          <w:rFonts w:ascii="Times New Roman" w:hAnsi="Times New Roman"/>
          <w:sz w:val="20"/>
        </w:rPr>
        <w:t>yndrome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563"/>
        <w:gridCol w:w="1948"/>
        <w:gridCol w:w="1260"/>
        <w:gridCol w:w="1997"/>
        <w:gridCol w:w="1258"/>
      </w:tblGrid>
      <w:tr w:rsidR="00E17569" w:rsidRPr="00196E3F" w:rsidTr="00F566EB">
        <w:tc>
          <w:tcPr>
            <w:tcW w:w="142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 xml:space="preserve">Management </w:t>
            </w:r>
          </w:p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Strategy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 xml:space="preserve">Multivariable Adjusted </w:t>
            </w:r>
          </w:p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OR- complete case analysis</w:t>
            </w:r>
          </w:p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(95%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96E3F">
              <w:rPr>
                <w:rFonts w:ascii="Times New Roman" w:hAnsi="Times New Roman"/>
                <w:sz w:val="18"/>
              </w:rPr>
              <w:t>CI) *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P-value</w:t>
            </w:r>
          </w:p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(Wald)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 xml:space="preserve">Multivariable Adjusted </w:t>
            </w:r>
          </w:p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OR- multiple imputation</w:t>
            </w:r>
          </w:p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(95%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196E3F">
              <w:rPr>
                <w:rFonts w:ascii="Times New Roman" w:hAnsi="Times New Roman"/>
                <w:sz w:val="18"/>
              </w:rPr>
              <w:t>CI) **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 xml:space="preserve">P-value </w:t>
            </w:r>
          </w:p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(Wald)</w:t>
            </w:r>
          </w:p>
        </w:tc>
      </w:tr>
      <w:tr w:rsidR="00E17569" w:rsidRPr="00196E3F" w:rsidTr="00525FEC">
        <w:tc>
          <w:tcPr>
            <w:tcW w:w="1420" w:type="pct"/>
            <w:tcBorders>
              <w:top w:val="single" w:sz="4" w:space="0" w:color="auto"/>
              <w:bottom w:val="nil"/>
              <w:right w:val="nil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Medical Mx</w:t>
            </w:r>
          </w:p>
        </w:tc>
        <w:tc>
          <w:tcPr>
            <w:tcW w:w="1079" w:type="pct"/>
            <w:tcBorders>
              <w:top w:val="single" w:sz="4" w:space="0" w:color="auto"/>
              <w:bottom w:val="nil"/>
              <w:right w:val="nil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bottom w:val="nil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nil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bottom w:val="nil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17569" w:rsidRPr="00196E3F" w:rsidTr="00525FEC">
        <w:tc>
          <w:tcPr>
            <w:tcW w:w="1420" w:type="pct"/>
            <w:tcBorders>
              <w:top w:val="nil"/>
              <w:bottom w:val="single" w:sz="4" w:space="0" w:color="auto"/>
              <w:right w:val="nil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In patient Revascularisation</w:t>
            </w:r>
          </w:p>
        </w:tc>
        <w:tc>
          <w:tcPr>
            <w:tcW w:w="1079" w:type="pct"/>
            <w:tcBorders>
              <w:top w:val="nil"/>
              <w:bottom w:val="single" w:sz="4" w:space="0" w:color="auto"/>
              <w:right w:val="nil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66</w:t>
            </w:r>
          </w:p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(0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57-0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77)</w:t>
            </w:r>
          </w:p>
        </w:tc>
        <w:tc>
          <w:tcPr>
            <w:tcW w:w="698" w:type="pct"/>
            <w:tcBorders>
              <w:top w:val="nil"/>
              <w:bottom w:val="single" w:sz="4" w:space="0" w:color="auto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&lt;0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001</w:t>
            </w: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72</w:t>
            </w:r>
          </w:p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>(0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65-0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80)</w:t>
            </w:r>
          </w:p>
        </w:tc>
        <w:tc>
          <w:tcPr>
            <w:tcW w:w="698" w:type="pct"/>
            <w:tcBorders>
              <w:top w:val="nil"/>
              <w:bottom w:val="single" w:sz="4" w:space="0" w:color="auto"/>
            </w:tcBorders>
          </w:tcPr>
          <w:p w:rsidR="00E17569" w:rsidRPr="00196E3F" w:rsidRDefault="00E17569" w:rsidP="005B22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6E3F">
              <w:rPr>
                <w:rFonts w:ascii="Times New Roman" w:hAnsi="Times New Roman"/>
                <w:sz w:val="18"/>
              </w:rPr>
              <w:t xml:space="preserve"> &lt; 0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196E3F">
              <w:rPr>
                <w:rFonts w:ascii="Times New Roman" w:hAnsi="Times New Roman"/>
                <w:sz w:val="18"/>
              </w:rPr>
              <w:t>001</w:t>
            </w:r>
          </w:p>
        </w:tc>
      </w:tr>
    </w:tbl>
    <w:p w:rsidR="00E17569" w:rsidRDefault="00E17569" w:rsidP="00E17569">
      <w:pPr>
        <w:rPr>
          <w:rFonts w:ascii="Times New Roman" w:hAnsi="Times New Roman"/>
          <w:sz w:val="16"/>
        </w:rPr>
      </w:pPr>
    </w:p>
    <w:p w:rsidR="00E17569" w:rsidRPr="009E7986" w:rsidRDefault="00E17569" w:rsidP="00E17569">
      <w:pPr>
        <w:rPr>
          <w:rFonts w:ascii="Times New Roman" w:hAnsi="Times New Roman"/>
          <w:sz w:val="16"/>
        </w:rPr>
      </w:pPr>
      <w:r w:rsidRPr="009E7986">
        <w:rPr>
          <w:rFonts w:ascii="Times New Roman" w:hAnsi="Times New Roman"/>
          <w:sz w:val="16"/>
        </w:rPr>
        <w:t>*p-interaction (Wald test) between eGFR category and inpatient revascularisation and mortality: 0</w:t>
      </w:r>
      <w:r>
        <w:rPr>
          <w:rFonts w:ascii="Times New Roman" w:hAnsi="Times New Roman"/>
          <w:sz w:val="16"/>
        </w:rPr>
        <w:t>.</w:t>
      </w:r>
      <w:r w:rsidR="009059D6">
        <w:rPr>
          <w:rFonts w:ascii="Times New Roman" w:hAnsi="Times New Roman"/>
          <w:sz w:val="16"/>
        </w:rPr>
        <w:t>744</w:t>
      </w:r>
      <w:bookmarkStart w:id="0" w:name="_GoBack"/>
      <w:bookmarkEnd w:id="0"/>
    </w:p>
    <w:p w:rsidR="00E17569" w:rsidRPr="009E7986" w:rsidRDefault="00E17569" w:rsidP="00E17569">
      <w:pPr>
        <w:rPr>
          <w:rFonts w:ascii="Times New Roman" w:hAnsi="Times New Roman"/>
          <w:sz w:val="16"/>
        </w:rPr>
      </w:pPr>
      <w:r w:rsidRPr="009E7986">
        <w:rPr>
          <w:rFonts w:ascii="Times New Roman" w:hAnsi="Times New Roman"/>
          <w:sz w:val="16"/>
        </w:rPr>
        <w:t>**p-interaction (Wald test) between eGFR category and inpatient revascularisation and mortality: 0</w:t>
      </w:r>
      <w:r>
        <w:rPr>
          <w:rFonts w:ascii="Times New Roman" w:hAnsi="Times New Roman"/>
          <w:sz w:val="16"/>
        </w:rPr>
        <w:t>.</w:t>
      </w:r>
      <w:r w:rsidRPr="009E7986">
        <w:rPr>
          <w:rFonts w:ascii="Times New Roman" w:hAnsi="Times New Roman"/>
          <w:sz w:val="16"/>
        </w:rPr>
        <w:t>588</w:t>
      </w:r>
    </w:p>
    <w:p w:rsidR="00E17569" w:rsidRPr="001A3331" w:rsidRDefault="00E17569" w:rsidP="00E17569">
      <w:pPr>
        <w:rPr>
          <w:rFonts w:ascii="Times New Roman" w:hAnsi="Times New Roman"/>
          <w:sz w:val="16"/>
        </w:rPr>
      </w:pPr>
      <w:r w:rsidRPr="001A3331">
        <w:rPr>
          <w:rFonts w:ascii="Times New Roman" w:hAnsi="Times New Roman"/>
          <w:sz w:val="16"/>
        </w:rPr>
        <w:t xml:space="preserve">Multivariable Model adjusted for age, ethnicity, gender, IMD score, eGFR systolic blood pressure, heart rate, haemoglobin, </w:t>
      </w:r>
      <w:r>
        <w:rPr>
          <w:rFonts w:ascii="Times New Roman" w:hAnsi="Times New Roman"/>
          <w:sz w:val="16"/>
        </w:rPr>
        <w:t xml:space="preserve"> peak troponin, </w:t>
      </w:r>
      <w:r w:rsidRPr="001A3331">
        <w:rPr>
          <w:rFonts w:ascii="Times New Roman" w:hAnsi="Times New Roman"/>
          <w:sz w:val="16"/>
        </w:rPr>
        <w:t xml:space="preserve">ECG diagnosis, history of angina, </w:t>
      </w:r>
      <w:r>
        <w:rPr>
          <w:rFonts w:ascii="Times New Roman" w:hAnsi="Times New Roman"/>
          <w:sz w:val="16"/>
        </w:rPr>
        <w:t>hyperlipidaemia</w:t>
      </w:r>
      <w:r w:rsidRPr="001A3331">
        <w:rPr>
          <w:rFonts w:ascii="Times New Roman" w:hAnsi="Times New Roman"/>
          <w:sz w:val="16"/>
        </w:rPr>
        <w:t>, hypertension, peripheral vascular disease, cerebrovascular disease, chronic obstructive airways disease, congestive cardiac failure, previous percutaneous coronary intervention, previous coronary artery bypass graft,   previous myocardial infarction, diabetes, current smoking status and hospital</w:t>
      </w:r>
    </w:p>
    <w:p w:rsidR="00E17569" w:rsidRDefault="00E17569" w:rsidP="00E17569">
      <w:pPr>
        <w:rPr>
          <w:rFonts w:ascii="Times New Roman" w:hAnsi="Times New Roman"/>
          <w:sz w:val="16"/>
        </w:rPr>
      </w:pPr>
      <w:r w:rsidRPr="001A3331">
        <w:rPr>
          <w:rFonts w:ascii="Times New Roman" w:hAnsi="Times New Roman"/>
          <w:sz w:val="16"/>
        </w:rPr>
        <w:t>Abbreviations: Medical Mx=medical management; IP revascularisation=in patient revascularisation; OR=odds ratio; CI=confidence interval; eGFR= estimated glomerular filtration rate</w:t>
      </w:r>
    </w:p>
    <w:p w:rsidR="00E17569" w:rsidRDefault="00E17569" w:rsidP="00E17569"/>
    <w:p w:rsidR="005C152D" w:rsidRDefault="005C152D"/>
    <w:sectPr w:rsidR="005C1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69"/>
    <w:rsid w:val="00230B11"/>
    <w:rsid w:val="00525FEC"/>
    <w:rsid w:val="005C152D"/>
    <w:rsid w:val="009059D6"/>
    <w:rsid w:val="00BA18AE"/>
    <w:rsid w:val="00E17569"/>
    <w:rsid w:val="00F5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89B1E-8513-425A-BF17-C957CC19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56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Shaw</dc:creator>
  <cp:lastModifiedBy>Catriona Shaw</cp:lastModifiedBy>
  <cp:revision>4</cp:revision>
  <dcterms:created xsi:type="dcterms:W3CDTF">2014-04-07T09:17:00Z</dcterms:created>
  <dcterms:modified xsi:type="dcterms:W3CDTF">2014-05-27T11:05:00Z</dcterms:modified>
</cp:coreProperties>
</file>