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F1" w:rsidRDefault="0085355B" w:rsidP="00E556D9">
      <w:r>
        <w:t xml:space="preserve">Table </w:t>
      </w:r>
      <w:r w:rsidR="00CB3E91">
        <w:t>S7</w:t>
      </w:r>
      <w:r>
        <w:t xml:space="preserve">. </w:t>
      </w:r>
      <w:r w:rsidR="00D53D34" w:rsidRPr="00D53D34">
        <w:t xml:space="preserve">Impact of </w:t>
      </w:r>
      <w:r w:rsidR="0051693E">
        <w:t>baseline trend level</w:t>
      </w:r>
      <w:r w:rsidR="00D53D34">
        <w:t xml:space="preserve"> on periods estimates</w:t>
      </w:r>
      <w:r w:rsidR="000E2F0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Trend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Method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proofErr w:type="spellStart"/>
            <w:r w:rsidRPr="003A55FF">
              <w:t>Mextric</w:t>
            </w:r>
            <w:proofErr w:type="spellEnd"/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10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20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100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proofErr w:type="spellStart"/>
            <w:r w:rsidRPr="003A55FF">
              <w:t>exp</w:t>
            </w:r>
            <w:proofErr w:type="spellEnd"/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NLLS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MP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23.95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23.92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23.66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612.09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705.89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682.72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proofErr w:type="spellStart"/>
            <w:r w:rsidRPr="003A55FF">
              <w:t>exp</w:t>
            </w:r>
            <w:proofErr w:type="spellEnd"/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LSPR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MP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24.01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23.92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23.45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22.88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35.63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35.74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proofErr w:type="spellStart"/>
            <w:r w:rsidRPr="003A55FF">
              <w:t>exp</w:t>
            </w:r>
            <w:proofErr w:type="spellEnd"/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MESA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MP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23.92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23.92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23.92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23.9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23.88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23.88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proofErr w:type="spellStart"/>
            <w:r w:rsidRPr="003A55FF">
              <w:t>exp</w:t>
            </w:r>
            <w:proofErr w:type="spellEnd"/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MFF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MP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23.98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23.94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23.38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22.95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31.87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35.01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proofErr w:type="spellStart"/>
            <w:r w:rsidRPr="003A55FF">
              <w:t>exp</w:t>
            </w:r>
            <w:proofErr w:type="spellEnd"/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EPR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MP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23.88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23.87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23.65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23.05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35.1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35.1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proofErr w:type="spellStart"/>
            <w:r w:rsidRPr="003A55FF">
              <w:t>exp</w:t>
            </w:r>
            <w:proofErr w:type="spellEnd"/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SR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MP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24.11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24.11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24.09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24.01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proofErr w:type="spellStart"/>
            <w:r w:rsidRPr="003A55FF">
              <w:t>exp</w:t>
            </w:r>
            <w:proofErr w:type="spellEnd"/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NLLS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STD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0.14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0.28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657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227.48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52.87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proofErr w:type="spellStart"/>
            <w:r w:rsidRPr="003A55FF">
              <w:t>exp</w:t>
            </w:r>
            <w:proofErr w:type="spellEnd"/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LSPR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STD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0.13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0.13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0.14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0.09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1.66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0.02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proofErr w:type="spellStart"/>
            <w:r w:rsidRPr="003A55FF">
              <w:t>exp</w:t>
            </w:r>
            <w:proofErr w:type="spellEnd"/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MESA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STD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0.16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0.17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0.17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proofErr w:type="spellStart"/>
            <w:r w:rsidRPr="003A55FF">
              <w:t>exp</w:t>
            </w:r>
            <w:proofErr w:type="spellEnd"/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MFF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STD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0.13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0.08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5.31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0.01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proofErr w:type="spellStart"/>
            <w:r w:rsidRPr="003A55FF">
              <w:t>exp</w:t>
            </w:r>
            <w:proofErr w:type="spellEnd"/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EPR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STD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0.26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1.16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proofErr w:type="spellStart"/>
            <w:r w:rsidRPr="003A55FF">
              <w:t>exp</w:t>
            </w:r>
            <w:proofErr w:type="spellEnd"/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SR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STD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0.16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proofErr w:type="spellStart"/>
            <w:r w:rsidRPr="003A55FF">
              <w:t>ipar</w:t>
            </w:r>
            <w:proofErr w:type="spellEnd"/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NLLS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MP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23.95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24.15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269.56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280.77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173.73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34.9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proofErr w:type="spellStart"/>
            <w:r w:rsidRPr="003A55FF">
              <w:t>ipar</w:t>
            </w:r>
            <w:proofErr w:type="spellEnd"/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LSPR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MP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24.01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24.31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34.88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35.3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35.31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35.32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proofErr w:type="spellStart"/>
            <w:r w:rsidRPr="003A55FF">
              <w:t>ipar</w:t>
            </w:r>
            <w:proofErr w:type="spellEnd"/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MESA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MP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23.92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23.98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23.98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24.19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24.69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34.67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proofErr w:type="spellStart"/>
            <w:r w:rsidRPr="003A55FF">
              <w:t>ipar</w:t>
            </w:r>
            <w:proofErr w:type="spellEnd"/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MFF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MP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23.98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23.76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34.62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34.9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34.85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34.82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proofErr w:type="spellStart"/>
            <w:r w:rsidRPr="003A55FF">
              <w:t>ipar</w:t>
            </w:r>
            <w:proofErr w:type="spellEnd"/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EPR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MP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23.88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23.8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34.61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34.62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34.6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34.6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proofErr w:type="spellStart"/>
            <w:r w:rsidRPr="003A55FF">
              <w:t>ipar</w:t>
            </w:r>
            <w:proofErr w:type="spellEnd"/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SR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MP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24.11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24.07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29.57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46.88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46.75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proofErr w:type="spellStart"/>
            <w:r w:rsidRPr="003A55FF">
              <w:t>ipar</w:t>
            </w:r>
            <w:proofErr w:type="spellEnd"/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NLLS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STD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0.25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77.77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23.87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120.04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6.57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proofErr w:type="spellStart"/>
            <w:r w:rsidRPr="003A55FF">
              <w:t>ipar</w:t>
            </w:r>
            <w:proofErr w:type="spellEnd"/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LSPR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STD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0.13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0.2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1.77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0.04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0.02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proofErr w:type="spellStart"/>
            <w:r w:rsidRPr="003A55FF">
              <w:t>ipar</w:t>
            </w:r>
            <w:proofErr w:type="spellEnd"/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MESA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STD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0.18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0.22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0.54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1.95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proofErr w:type="spellStart"/>
            <w:r w:rsidRPr="003A55FF">
              <w:t>ipar</w:t>
            </w:r>
            <w:proofErr w:type="spellEnd"/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MFF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STD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0.04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1.65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0.03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0.02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0.01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proofErr w:type="spellStart"/>
            <w:r w:rsidRPr="003A55FF">
              <w:t>ipar</w:t>
            </w:r>
            <w:proofErr w:type="spellEnd"/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EPR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STD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0.17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0.73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0.09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0.05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proofErr w:type="spellStart"/>
            <w:r w:rsidRPr="003A55FF">
              <w:t>ipar</w:t>
            </w:r>
            <w:proofErr w:type="spellEnd"/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SR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STD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6.6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0.13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proofErr w:type="spellStart"/>
            <w:r w:rsidRPr="003A55FF">
              <w:t>lin</w:t>
            </w:r>
            <w:proofErr w:type="spellEnd"/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NLLS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MP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23.95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23.96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24.05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24.14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24.74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proofErr w:type="spellStart"/>
            <w:r w:rsidRPr="003A55FF">
              <w:t>lin</w:t>
            </w:r>
            <w:proofErr w:type="spellEnd"/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LSPR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MP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24.01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24.02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24.07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24.12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24.23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24.98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proofErr w:type="spellStart"/>
            <w:r w:rsidRPr="003A55FF">
              <w:t>lin</w:t>
            </w:r>
            <w:proofErr w:type="spellEnd"/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MESA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MP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23.92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23.93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23.97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24.01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24.08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24.52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proofErr w:type="spellStart"/>
            <w:r w:rsidRPr="003A55FF">
              <w:t>lin</w:t>
            </w:r>
            <w:proofErr w:type="spellEnd"/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MFF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MP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23.98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23.99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24.02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24.06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24.15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24.73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proofErr w:type="spellStart"/>
            <w:r w:rsidRPr="003A55FF">
              <w:t>lin</w:t>
            </w:r>
            <w:proofErr w:type="spellEnd"/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EPR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MP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23.88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23.89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23.92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23.95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24.03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24.63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proofErr w:type="spellStart"/>
            <w:r w:rsidRPr="003A55FF">
              <w:t>lin</w:t>
            </w:r>
            <w:proofErr w:type="spellEnd"/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SR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MP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24.11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24.12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24.14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24.17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24.22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40.67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proofErr w:type="spellStart"/>
            <w:r w:rsidRPr="003A55FF">
              <w:t>lin</w:t>
            </w:r>
            <w:proofErr w:type="spellEnd"/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NLLS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STD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0.14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0.14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0.14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proofErr w:type="spellStart"/>
            <w:r w:rsidRPr="003A55FF">
              <w:t>lin</w:t>
            </w:r>
            <w:proofErr w:type="spellEnd"/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LSPR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STD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0.13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0.13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0.13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0.13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0.13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0.11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proofErr w:type="spellStart"/>
            <w:r w:rsidRPr="003A55FF">
              <w:t>lin</w:t>
            </w:r>
            <w:proofErr w:type="spellEnd"/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MESA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STD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0.25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proofErr w:type="spellStart"/>
            <w:r w:rsidRPr="003A55FF">
              <w:t>lin</w:t>
            </w:r>
            <w:proofErr w:type="spellEnd"/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MFF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STD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0.06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proofErr w:type="spellStart"/>
            <w:r w:rsidRPr="003A55FF">
              <w:t>lin</w:t>
            </w:r>
            <w:proofErr w:type="spellEnd"/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EPR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STD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0.12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proofErr w:type="spellStart"/>
            <w:r w:rsidRPr="003A55FF">
              <w:t>lin</w:t>
            </w:r>
            <w:proofErr w:type="spellEnd"/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SR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STD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0.16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0.14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10.82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1/3par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NLLS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MP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23.95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23.99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24.12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115.73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127.41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130.92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1/3par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LSPR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MP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24.01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23.99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23.87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23.66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34.92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35.15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1/3par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MESA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MP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23.92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23.98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24.02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23.98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23.94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24.21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1/3par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MFF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MP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23.98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23.69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23.4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32.1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34.49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1/3par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EPR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MP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23.88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23.9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24.05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24.51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33.59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34.22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1/3par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SR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MP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24.11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24.11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24.13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24.14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24.26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76.06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lastRenderedPageBreak/>
              <w:t>1/3par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NLLS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STD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0.12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30.91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5.16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1.18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1/3par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LSPR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STD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0.13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0.13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0.13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1.06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0.02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1/3par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MESA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STD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0.16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0.17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0.25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1/3par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MFF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STD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0.32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4.45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0.02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1/3par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EPR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STD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0.26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0.23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0.43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0.08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1/3par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SR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STD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0.16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0.16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0.73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0.58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2/3ipar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NLLS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MP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23.95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24.03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344.52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380.95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289.22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320.2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2/3ipar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LSPR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MP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24.01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24.15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25.18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34.49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35.53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35.58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2/3ipar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MESA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MP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23.92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23.98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23.98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23.92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23.91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24.09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2/3ipar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MFF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MP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23.98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23.94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25.05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34.72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35.02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34.99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2/3ipar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EPR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MP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23.88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23.87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24.9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34.54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34.81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34.9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2/3ipar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NLLS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STD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0.13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529.38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435.3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120.98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66.86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2/3ipar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LSPR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STD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0.13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0.14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0.45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2.75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0.05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0.01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2/3ipar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MESA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STD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0.16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0.17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0.18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0.2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2/3ipar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MFF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STD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0.8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1.51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0.01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2/3ipar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EPR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STD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1.31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1.49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0.09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0.02</w:t>
            </w:r>
          </w:p>
        </w:tc>
      </w:tr>
      <w:tr w:rsidR="003A55FF" w:rsidRPr="003A55FF" w:rsidTr="003A55FF">
        <w:trPr>
          <w:trHeight w:val="300"/>
        </w:trPr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2/3ipar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 w:rsidRPr="003A55FF">
              <w:t>SR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>
            <w:r>
              <w:t>STD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0.15</w:t>
            </w:r>
          </w:p>
        </w:tc>
        <w:tc>
          <w:tcPr>
            <w:tcW w:w="960" w:type="dxa"/>
            <w:noWrap/>
            <w:hideMark/>
          </w:tcPr>
          <w:p w:rsidR="003A55FF" w:rsidRPr="003A55FF" w:rsidRDefault="003A55FF" w:rsidP="003A55FF">
            <w:r w:rsidRPr="003A55FF">
              <w:t>18.14</w:t>
            </w:r>
          </w:p>
        </w:tc>
      </w:tr>
    </w:tbl>
    <w:p w:rsidR="00E03FA8" w:rsidRDefault="00E03FA8" w:rsidP="00CA1054"/>
    <w:p w:rsidR="00D53D34" w:rsidRDefault="00CB3E91" w:rsidP="00CB3E91">
      <w:r w:rsidRPr="00E2031F">
        <w:t>Data sets with different levels of baseline trend and different trend forms were analysed using all the methods and the mean period value</w:t>
      </w:r>
      <w:r>
        <w:t xml:space="preserve"> (MP) and standard deviation (STD)</w:t>
      </w:r>
      <w:r w:rsidRPr="00E2031F">
        <w:t xml:space="preserve"> </w:t>
      </w:r>
      <w:r>
        <w:t xml:space="preserve">are </w:t>
      </w:r>
      <w:r w:rsidRPr="00E2031F">
        <w:t>reported in the table</w:t>
      </w:r>
      <w:bookmarkStart w:id="0" w:name="_GoBack"/>
      <w:bookmarkEnd w:id="0"/>
      <w:r w:rsidRPr="00E2031F">
        <w:t xml:space="preserve">. Data sets were created by taking a standard pulse signal data set (5 days data, hourly sampled, </w:t>
      </w:r>
      <w:r>
        <w:t>8</w:t>
      </w:r>
      <w:r w:rsidRPr="00E2031F">
        <w:t>0% walking noise level, 24h underlying period) and adding to it 5 different envelope shapes with increasing amplitude. 1) The trend/envelope shapes: linear increase (</w:t>
      </w:r>
      <w:proofErr w:type="spellStart"/>
      <w:proofErr w:type="gramStart"/>
      <w:r w:rsidRPr="00E2031F">
        <w:t>lin</w:t>
      </w:r>
      <w:proofErr w:type="spellEnd"/>
      <w:proofErr w:type="gramEnd"/>
      <w:r w:rsidRPr="00E2031F">
        <w:t>); exponential increase (</w:t>
      </w:r>
      <w:proofErr w:type="spellStart"/>
      <w:r w:rsidRPr="00E2031F">
        <w:t>exp</w:t>
      </w:r>
      <w:proofErr w:type="spellEnd"/>
      <w:r w:rsidRPr="00E2031F">
        <w:t>); inverse parabola (</w:t>
      </w:r>
      <w:proofErr w:type="spellStart"/>
      <w:r w:rsidRPr="00E2031F">
        <w:t>ipar</w:t>
      </w:r>
      <w:proofErr w:type="spellEnd"/>
      <w:r w:rsidRPr="00E2031F">
        <w:t>); 2/3 inverse parabola (2/3ipar) and 1/3 parabola (1/3par). 2) The baseline level is defined as ration between trend total amplitude and the original signal amplitude (0 no trend, 20 trend is 20 times higher than signal).</w:t>
      </w:r>
    </w:p>
    <w:sectPr w:rsidR="00D53D34" w:rsidSect="00B77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D9"/>
    <w:rsid w:val="00067786"/>
    <w:rsid w:val="0007064F"/>
    <w:rsid w:val="000E2F0A"/>
    <w:rsid w:val="00101F74"/>
    <w:rsid w:val="00113AD5"/>
    <w:rsid w:val="00177465"/>
    <w:rsid w:val="001865C7"/>
    <w:rsid w:val="001A410A"/>
    <w:rsid w:val="00243F0C"/>
    <w:rsid w:val="002837F5"/>
    <w:rsid w:val="002965DE"/>
    <w:rsid w:val="00365617"/>
    <w:rsid w:val="003A55FF"/>
    <w:rsid w:val="00442A58"/>
    <w:rsid w:val="0051693E"/>
    <w:rsid w:val="00582DB2"/>
    <w:rsid w:val="005C63DB"/>
    <w:rsid w:val="007C2ED0"/>
    <w:rsid w:val="007E2E0B"/>
    <w:rsid w:val="00843750"/>
    <w:rsid w:val="0085355B"/>
    <w:rsid w:val="008604FE"/>
    <w:rsid w:val="00872B7F"/>
    <w:rsid w:val="009068C6"/>
    <w:rsid w:val="00907E3A"/>
    <w:rsid w:val="00AA4A1B"/>
    <w:rsid w:val="00B77EEF"/>
    <w:rsid w:val="00B86FD7"/>
    <w:rsid w:val="00C96E70"/>
    <w:rsid w:val="00CA1054"/>
    <w:rsid w:val="00CB3E91"/>
    <w:rsid w:val="00CE2DFF"/>
    <w:rsid w:val="00D0017A"/>
    <w:rsid w:val="00D53D34"/>
    <w:rsid w:val="00DD6EF1"/>
    <w:rsid w:val="00E03FA8"/>
    <w:rsid w:val="00E13C45"/>
    <w:rsid w:val="00E556D9"/>
    <w:rsid w:val="00EF1582"/>
    <w:rsid w:val="00F023E0"/>
    <w:rsid w:val="00F8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6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6D9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D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53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6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6D9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D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53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Zieliński</dc:creator>
  <cp:lastModifiedBy>Tomasz Zielinski</cp:lastModifiedBy>
  <cp:revision>2</cp:revision>
  <cp:lastPrinted>2014-01-27T13:16:00Z</cp:lastPrinted>
  <dcterms:created xsi:type="dcterms:W3CDTF">2014-02-01T19:25:00Z</dcterms:created>
  <dcterms:modified xsi:type="dcterms:W3CDTF">2014-02-01T19:25:00Z</dcterms:modified>
</cp:coreProperties>
</file>