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7B" w:rsidRDefault="001B647B" w:rsidP="001B647B">
      <w:pPr>
        <w:autoSpaceDE w:val="0"/>
        <w:autoSpaceDN w:val="0"/>
        <w:adjustRightInd w:val="0"/>
        <w:spacing w:line="480" w:lineRule="auto"/>
        <w:rPr>
          <w:sz w:val="22"/>
          <w:szCs w:val="22"/>
        </w:rPr>
      </w:pPr>
      <w:r w:rsidRPr="004B61C8">
        <w:rPr>
          <w:b/>
        </w:rPr>
        <w:t xml:space="preserve">Table S1. </w:t>
      </w:r>
      <w:proofErr w:type="gramStart"/>
      <w:r>
        <w:rPr>
          <w:b/>
        </w:rPr>
        <w:t>Sensitivity analysis of regional trends without</w:t>
      </w:r>
      <w:r w:rsidRPr="004B61C8">
        <w:rPr>
          <w:b/>
        </w:rPr>
        <w:t xml:space="preserve"> the Maldives</w:t>
      </w:r>
      <w:r w:rsidRPr="00120B16">
        <w:rPr>
          <w:b/>
          <w:sz w:val="22"/>
          <w:szCs w:val="22"/>
        </w:rPr>
        <w:t>.</w:t>
      </w:r>
      <w:proofErr w:type="gramEnd"/>
      <w:r w:rsidRPr="00120B16">
        <w:rPr>
          <w:sz w:val="22"/>
          <w:szCs w:val="22"/>
        </w:rPr>
        <w:t xml:space="preserve"> </w:t>
      </w:r>
    </w:p>
    <w:tbl>
      <w:tblPr>
        <w:tblW w:w="8340" w:type="dxa"/>
        <w:tblInd w:w="93" w:type="dxa"/>
        <w:tblLook w:val="04A0"/>
      </w:tblPr>
      <w:tblGrid>
        <w:gridCol w:w="2228"/>
        <w:gridCol w:w="700"/>
        <w:gridCol w:w="940"/>
        <w:gridCol w:w="222"/>
        <w:gridCol w:w="2680"/>
        <w:gridCol w:w="700"/>
        <w:gridCol w:w="940"/>
      </w:tblGrid>
      <w:tr w:rsidR="001B647B" w:rsidRPr="002B2A3C" w:rsidTr="00873BEA">
        <w:trPr>
          <w:trHeight w:val="340"/>
        </w:trPr>
        <w:tc>
          <w:tcPr>
            <w:tcW w:w="222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r w:rsidRPr="002B2A3C">
              <w:rPr>
                <w:rFonts w:cs="Arial"/>
                <w:b/>
                <w:bCs/>
                <w:color w:val="000000"/>
                <w:sz w:val="18"/>
                <w:szCs w:val="18"/>
                <w:lang w:val="en-US"/>
              </w:rPr>
              <w:t>Hard coral</w:t>
            </w:r>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proofErr w:type="spellStart"/>
            <w:r w:rsidRPr="002B2A3C">
              <w:rPr>
                <w:rFonts w:cs="Arial"/>
                <w:b/>
                <w:bCs/>
                <w:color w:val="000000"/>
                <w:sz w:val="18"/>
                <w:szCs w:val="18"/>
                <w:lang w:val="en-US"/>
              </w:rPr>
              <w:t>Pocilloporids</w:t>
            </w:r>
            <w:proofErr w:type="spellEnd"/>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0.44</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0.11</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r>
      <w:tr w:rsidR="001B647B" w:rsidRPr="002B2A3C" w:rsidTr="00873BEA">
        <w:trPr>
          <w:trHeight w:val="300"/>
        </w:trPr>
        <w:tc>
          <w:tcPr>
            <w:tcW w:w="2220" w:type="dxa"/>
            <w:tcBorders>
              <w:top w:val="nil"/>
              <w:left w:val="nil"/>
              <w:bottom w:val="single" w:sz="4" w:space="0" w:color="auto"/>
              <w:right w:val="nil"/>
            </w:tcBorders>
            <w:shd w:val="clear" w:color="auto" w:fill="auto"/>
            <w:noWrap/>
            <w:vAlign w:val="bottom"/>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Year</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-1.48</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0.139</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Geography</w:t>
            </w: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-3.74</w:t>
            </w:r>
          </w:p>
        </w:tc>
        <w:tc>
          <w:tcPr>
            <w:tcW w:w="94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0.02</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w:t>
            </w:r>
            <w:r w:rsidRPr="002B2A3C">
              <w:rPr>
                <w:rFonts w:cs="Arial"/>
                <w:color w:val="000000"/>
                <w:sz w:val="18"/>
                <w:szCs w:val="18"/>
                <w:vertAlign w:val="superscript"/>
                <w:lang w:val="en-US"/>
              </w:rPr>
              <w:t>1</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1.84</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0.067</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Management</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2.65</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0.009</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Geography</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-2.56</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0.037</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 </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 </w:t>
            </w:r>
          </w:p>
        </w:tc>
      </w:tr>
      <w:tr w:rsidR="001B647B" w:rsidRPr="002B2A3C" w:rsidTr="00873BEA">
        <w:trPr>
          <w:trHeight w:val="300"/>
        </w:trPr>
        <w:tc>
          <w:tcPr>
            <w:tcW w:w="222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Year*Geography</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2.57</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proofErr w:type="spellStart"/>
            <w:r w:rsidRPr="002B2A3C">
              <w:rPr>
                <w:rFonts w:cs="Arial"/>
                <w:b/>
                <w:bCs/>
                <w:color w:val="000000"/>
                <w:sz w:val="18"/>
                <w:szCs w:val="18"/>
                <w:lang w:val="en-US"/>
              </w:rPr>
              <w:t>Poritiids</w:t>
            </w:r>
            <w:proofErr w:type="spellEnd"/>
          </w:p>
        </w:tc>
        <w:tc>
          <w:tcPr>
            <w:tcW w:w="700" w:type="dxa"/>
            <w:tcBorders>
              <w:top w:val="nil"/>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0.21</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r>
      <w:tr w:rsidR="001B647B" w:rsidRPr="002B2A3C" w:rsidTr="00873BEA">
        <w:trPr>
          <w:trHeight w:val="360"/>
        </w:trPr>
        <w:tc>
          <w:tcPr>
            <w:tcW w:w="222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proofErr w:type="spellStart"/>
            <w:r w:rsidRPr="002B2A3C">
              <w:rPr>
                <w:rFonts w:cs="Arial"/>
                <w:b/>
                <w:bCs/>
                <w:color w:val="000000"/>
                <w:sz w:val="18"/>
                <w:szCs w:val="18"/>
                <w:lang w:val="en-US"/>
              </w:rPr>
              <w:t>Acroporids</w:t>
            </w:r>
            <w:proofErr w:type="spellEnd"/>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6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0.55</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Geography</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-5.91</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0.004</w:t>
            </w:r>
          </w:p>
        </w:tc>
      </w:tr>
      <w:tr w:rsidR="001B647B" w:rsidRPr="002B2A3C" w:rsidTr="00873BEA">
        <w:trPr>
          <w:trHeight w:val="300"/>
        </w:trPr>
        <w:tc>
          <w:tcPr>
            <w:tcW w:w="222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94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Year</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2.82</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0.005</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r w:rsidRPr="002B2A3C">
              <w:rPr>
                <w:rFonts w:cs="Arial"/>
                <w:b/>
                <w:bCs/>
                <w:color w:val="000000"/>
                <w:sz w:val="18"/>
                <w:szCs w:val="18"/>
                <w:lang w:val="en-US"/>
              </w:rPr>
              <w:t>Genera richness</w:t>
            </w:r>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-5.34</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&lt;0.001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0.35</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r>
      <w:tr w:rsidR="001B647B" w:rsidRPr="002B2A3C" w:rsidTr="00873BEA">
        <w:trPr>
          <w:trHeight w:val="36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Geography</w:t>
            </w:r>
            <w:r w:rsidRPr="002B2A3C">
              <w:rPr>
                <w:rFonts w:cs="Arial"/>
                <w:color w:val="000000"/>
                <w:sz w:val="18"/>
                <w:szCs w:val="18"/>
                <w:vertAlign w:val="superscript"/>
                <w:lang w:val="en-US"/>
              </w:rPr>
              <w:t>2</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2.06</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0.108</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Year*Latitude</w:t>
            </w:r>
          </w:p>
        </w:tc>
        <w:tc>
          <w:tcPr>
            <w:tcW w:w="700" w:type="dxa"/>
            <w:tcBorders>
              <w:top w:val="nil"/>
              <w:left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5.34</w:t>
            </w:r>
          </w:p>
        </w:tc>
        <w:tc>
          <w:tcPr>
            <w:tcW w:w="940" w:type="dxa"/>
            <w:tcBorders>
              <w:top w:val="nil"/>
              <w:left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&lt;0.001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Depth</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-0.19</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0.85</w:t>
            </w:r>
          </w:p>
        </w:tc>
      </w:tr>
      <w:tr w:rsidR="001B647B" w:rsidRPr="002B2A3C" w:rsidTr="00873BEA">
        <w:trPr>
          <w:trHeight w:val="300"/>
        </w:trPr>
        <w:tc>
          <w:tcPr>
            <w:tcW w:w="222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Latitude*Geography</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4.16</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&lt;0.001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6.89</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&lt;0.001</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single" w:sz="4" w:space="0" w:color="auto"/>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top w:val="single" w:sz="4" w:space="0" w:color="auto"/>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Depth*Latitude</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-2.24</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0.026</w:t>
            </w:r>
          </w:p>
        </w:tc>
      </w:tr>
      <w:tr w:rsidR="001B647B" w:rsidRPr="002B2A3C" w:rsidTr="00873BEA">
        <w:trPr>
          <w:trHeight w:val="340"/>
        </w:trPr>
        <w:tc>
          <w:tcPr>
            <w:tcW w:w="222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proofErr w:type="spellStart"/>
            <w:r w:rsidRPr="002B2A3C">
              <w:rPr>
                <w:rFonts w:cs="Arial"/>
                <w:b/>
                <w:bCs/>
                <w:color w:val="000000"/>
                <w:sz w:val="18"/>
                <w:szCs w:val="18"/>
                <w:lang w:val="en-US"/>
              </w:rPr>
              <w:t>Faviids</w:t>
            </w:r>
            <w:proofErr w:type="spellEnd"/>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 </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 </w:t>
            </w:r>
          </w:p>
        </w:tc>
      </w:tr>
      <w:tr w:rsidR="001B647B" w:rsidRPr="002B2A3C" w:rsidTr="00873BEA">
        <w:trPr>
          <w:trHeight w:val="38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0.21</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r w:rsidRPr="002B2A3C">
              <w:rPr>
                <w:rFonts w:cs="Arial"/>
                <w:b/>
                <w:bCs/>
                <w:color w:val="000000"/>
                <w:sz w:val="18"/>
                <w:szCs w:val="18"/>
                <w:lang w:val="en-US"/>
              </w:rPr>
              <w:t>Simpson's diversity</w:t>
            </w:r>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0.18</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2.58</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0.011</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Geography</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-1.48</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0.214</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Depth</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3.12</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0.002</w:t>
            </w:r>
          </w:p>
        </w:tc>
      </w:tr>
      <w:tr w:rsidR="001B647B" w:rsidRPr="002B2A3C" w:rsidTr="00873BEA">
        <w:trPr>
          <w:trHeight w:val="300"/>
        </w:trPr>
        <w:tc>
          <w:tcPr>
            <w:tcW w:w="222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Management</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2.72</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0.007</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r>
      <w:tr w:rsidR="001B647B" w:rsidRPr="002B2A3C" w:rsidTr="00873BEA">
        <w:trPr>
          <w:trHeight w:val="300"/>
        </w:trPr>
        <w:tc>
          <w:tcPr>
            <w:tcW w:w="222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Geography*Management</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-2.24</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0.027</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single" w:sz="4" w:space="0" w:color="auto"/>
              <w:left w:val="nil"/>
              <w:bottom w:val="nil"/>
              <w:right w:val="nil"/>
            </w:tcBorders>
            <w:shd w:val="clear" w:color="auto" w:fill="auto"/>
            <w:noWrap/>
            <w:vAlign w:val="center"/>
            <w:hideMark/>
          </w:tcPr>
          <w:p w:rsidR="001B647B" w:rsidRPr="002B2A3C" w:rsidRDefault="001B647B" w:rsidP="00873BEA">
            <w:pPr>
              <w:rPr>
                <w:rFonts w:cs="Arial"/>
                <w:b/>
                <w:bCs/>
                <w:color w:val="000000"/>
                <w:sz w:val="18"/>
                <w:szCs w:val="18"/>
                <w:lang w:val="en-US"/>
              </w:rPr>
            </w:pPr>
            <w:r w:rsidRPr="002B2A3C">
              <w:rPr>
                <w:rFonts w:cs="Arial"/>
                <w:b/>
                <w:bCs/>
                <w:color w:val="000000"/>
                <w:sz w:val="18"/>
                <w:szCs w:val="18"/>
                <w:lang w:val="en-US"/>
              </w:rPr>
              <w:t>Bleaching susceptibility</w:t>
            </w:r>
          </w:p>
        </w:tc>
        <w:tc>
          <w:tcPr>
            <w:tcW w:w="700" w:type="dxa"/>
            <w:tcBorders>
              <w:top w:val="single" w:sz="4" w:space="0" w:color="auto"/>
              <w:left w:val="nil"/>
              <w:bottom w:val="single" w:sz="4" w:space="0" w:color="auto"/>
              <w:right w:val="nil"/>
            </w:tcBorders>
            <w:shd w:val="clear" w:color="auto" w:fill="auto"/>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R</w:t>
            </w:r>
            <w:r w:rsidRPr="002B2A3C">
              <w:rPr>
                <w:rFonts w:cs="Arial"/>
                <w:i/>
                <w:iCs/>
                <w:color w:val="000000"/>
                <w:sz w:val="18"/>
                <w:szCs w:val="18"/>
                <w:vertAlign w:val="superscript"/>
                <w:lang w:val="en-US"/>
              </w:rPr>
              <w:t>2</w:t>
            </w:r>
          </w:p>
        </w:tc>
        <w:tc>
          <w:tcPr>
            <w:tcW w:w="940" w:type="dxa"/>
            <w:tcBorders>
              <w:top w:val="single" w:sz="4" w:space="0" w:color="auto"/>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 </w:t>
            </w:r>
          </w:p>
        </w:tc>
        <w:tc>
          <w:tcPr>
            <w:tcW w:w="940" w:type="dxa"/>
            <w:tcBorders>
              <w:top w:val="nil"/>
              <w:left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 </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center"/>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0.30</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&lt;0.0001</w:t>
            </w:r>
          </w:p>
        </w:tc>
      </w:tr>
      <w:tr w:rsidR="001B647B" w:rsidRPr="002B2A3C" w:rsidTr="00873BEA">
        <w:trPr>
          <w:trHeight w:val="300"/>
        </w:trPr>
        <w:tc>
          <w:tcPr>
            <w:tcW w:w="2220" w:type="dxa"/>
            <w:tcBorders>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 </w:t>
            </w:r>
          </w:p>
        </w:tc>
        <w:tc>
          <w:tcPr>
            <w:tcW w:w="700" w:type="dxa"/>
            <w:tcBorders>
              <w:top w:val="single" w:sz="4" w:space="0" w:color="auto"/>
              <w:left w:val="nil"/>
              <w:bottom w:val="single" w:sz="4" w:space="0" w:color="auto"/>
              <w:right w:val="nil"/>
            </w:tcBorders>
            <w:shd w:val="clear" w:color="auto" w:fill="auto"/>
            <w:noWrap/>
            <w:vAlign w:val="center"/>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t</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i/>
                <w:iCs/>
                <w:color w:val="000000"/>
                <w:sz w:val="18"/>
                <w:szCs w:val="18"/>
                <w:lang w:val="en-US"/>
              </w:rPr>
            </w:pPr>
            <w:r w:rsidRPr="002B2A3C">
              <w:rPr>
                <w:rFonts w:cs="Arial"/>
                <w:i/>
                <w:iCs/>
                <w:color w:val="000000"/>
                <w:sz w:val="18"/>
                <w:szCs w:val="18"/>
                <w:lang w:val="en-US"/>
              </w:rPr>
              <w:t>P</w:t>
            </w:r>
          </w:p>
        </w:tc>
      </w:tr>
      <w:tr w:rsidR="001B647B" w:rsidRPr="002B2A3C" w:rsidTr="00873BEA">
        <w:trPr>
          <w:trHeight w:val="300"/>
        </w:trPr>
        <w:tc>
          <w:tcPr>
            <w:tcW w:w="222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-6.23</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w:t>
            </w:r>
          </w:p>
        </w:tc>
      </w:tr>
      <w:tr w:rsidR="001B647B" w:rsidRPr="002B2A3C" w:rsidTr="00873BEA">
        <w:trPr>
          <w:trHeight w:val="380"/>
        </w:trPr>
        <w:tc>
          <w:tcPr>
            <w:tcW w:w="222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nil"/>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Management</w:t>
            </w:r>
            <w:r w:rsidRPr="002B2A3C">
              <w:rPr>
                <w:rFonts w:cs="Arial"/>
                <w:color w:val="000000"/>
                <w:sz w:val="18"/>
                <w:szCs w:val="18"/>
                <w:vertAlign w:val="superscript"/>
                <w:lang w:val="en-US"/>
              </w:rPr>
              <w:t>3</w:t>
            </w: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1.80</w:t>
            </w: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&lt;0.001</w:t>
            </w:r>
          </w:p>
        </w:tc>
      </w:tr>
      <w:tr w:rsidR="001B647B" w:rsidRPr="002B2A3C" w:rsidTr="00873BEA">
        <w:trPr>
          <w:trHeight w:val="300"/>
        </w:trPr>
        <w:tc>
          <w:tcPr>
            <w:tcW w:w="222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70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940" w:type="dxa"/>
            <w:tcBorders>
              <w:top w:val="nil"/>
              <w:left w:val="nil"/>
              <w:bottom w:val="nil"/>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p>
        </w:tc>
        <w:tc>
          <w:tcPr>
            <w:tcW w:w="160" w:type="dxa"/>
            <w:tcBorders>
              <w:top w:val="nil"/>
              <w:left w:val="nil"/>
              <w:bottom w:val="nil"/>
              <w:right w:val="nil"/>
            </w:tcBorders>
            <w:shd w:val="clear" w:color="auto" w:fill="auto"/>
            <w:noWrap/>
            <w:vAlign w:val="bottom"/>
            <w:hideMark/>
          </w:tcPr>
          <w:p w:rsidR="001B647B" w:rsidRPr="002B2A3C" w:rsidRDefault="001B647B" w:rsidP="00873BEA">
            <w:pPr>
              <w:rPr>
                <w:rFonts w:cs="Arial"/>
                <w:color w:val="000000"/>
                <w:sz w:val="18"/>
                <w:szCs w:val="18"/>
                <w:lang w:val="en-US"/>
              </w:rPr>
            </w:pPr>
          </w:p>
        </w:tc>
        <w:tc>
          <w:tcPr>
            <w:tcW w:w="2680" w:type="dxa"/>
            <w:tcBorders>
              <w:top w:val="nil"/>
              <w:left w:val="nil"/>
              <w:bottom w:val="single" w:sz="4" w:space="0" w:color="auto"/>
              <w:right w:val="nil"/>
            </w:tcBorders>
            <w:shd w:val="clear" w:color="auto" w:fill="auto"/>
            <w:noWrap/>
            <w:vAlign w:val="center"/>
            <w:hideMark/>
          </w:tcPr>
          <w:p w:rsidR="001B647B" w:rsidRPr="002B2A3C" w:rsidRDefault="001B647B" w:rsidP="00873BEA">
            <w:pPr>
              <w:rPr>
                <w:rFonts w:cs="Arial"/>
                <w:color w:val="000000"/>
                <w:sz w:val="18"/>
                <w:szCs w:val="18"/>
                <w:lang w:val="en-US"/>
              </w:rPr>
            </w:pPr>
            <w:r w:rsidRPr="002B2A3C">
              <w:rPr>
                <w:rFonts w:cs="Arial"/>
                <w:color w:val="000000"/>
                <w:sz w:val="18"/>
                <w:szCs w:val="18"/>
                <w:lang w:val="en-US"/>
              </w:rPr>
              <w:t>Latitude*Management</w:t>
            </w:r>
          </w:p>
        </w:tc>
        <w:tc>
          <w:tcPr>
            <w:tcW w:w="70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color w:val="000000"/>
                <w:sz w:val="18"/>
                <w:szCs w:val="18"/>
                <w:lang w:val="en-US"/>
              </w:rPr>
            </w:pPr>
            <w:r w:rsidRPr="002B2A3C">
              <w:rPr>
                <w:rFonts w:cs="Arial"/>
                <w:color w:val="000000"/>
                <w:sz w:val="18"/>
                <w:szCs w:val="18"/>
                <w:lang w:val="en-US"/>
              </w:rPr>
              <w:t>2.28</w:t>
            </w:r>
          </w:p>
        </w:tc>
        <w:tc>
          <w:tcPr>
            <w:tcW w:w="940" w:type="dxa"/>
            <w:tcBorders>
              <w:top w:val="nil"/>
              <w:left w:val="nil"/>
              <w:bottom w:val="single" w:sz="4" w:space="0" w:color="auto"/>
              <w:right w:val="nil"/>
            </w:tcBorders>
            <w:shd w:val="clear" w:color="auto" w:fill="auto"/>
            <w:noWrap/>
            <w:vAlign w:val="bottom"/>
            <w:hideMark/>
          </w:tcPr>
          <w:p w:rsidR="001B647B" w:rsidRPr="002B2A3C" w:rsidRDefault="001B647B" w:rsidP="00873BEA">
            <w:pPr>
              <w:jc w:val="center"/>
              <w:rPr>
                <w:rFonts w:cs="Arial"/>
                <w:b/>
                <w:bCs/>
                <w:color w:val="000000"/>
                <w:sz w:val="18"/>
                <w:szCs w:val="18"/>
                <w:lang w:val="en-US"/>
              </w:rPr>
            </w:pPr>
            <w:r w:rsidRPr="002B2A3C">
              <w:rPr>
                <w:rFonts w:cs="Arial"/>
                <w:b/>
                <w:bCs/>
                <w:color w:val="000000"/>
                <w:sz w:val="18"/>
                <w:szCs w:val="18"/>
                <w:lang w:val="en-US"/>
              </w:rPr>
              <w:t>0.023</w:t>
            </w:r>
          </w:p>
        </w:tc>
      </w:tr>
    </w:tbl>
    <w:p w:rsidR="001B647B" w:rsidRPr="002B2A3C" w:rsidRDefault="001B647B" w:rsidP="001B647B">
      <w:pPr>
        <w:autoSpaceDE w:val="0"/>
        <w:autoSpaceDN w:val="0"/>
        <w:adjustRightInd w:val="0"/>
        <w:spacing w:line="480" w:lineRule="auto"/>
        <w:rPr>
          <w:szCs w:val="20"/>
        </w:rPr>
      </w:pPr>
      <w:r w:rsidRPr="002B2A3C">
        <w:rPr>
          <w:szCs w:val="20"/>
        </w:rPr>
        <w:t xml:space="preserve">We conducted all analyses without the Maldives due to concern that these 15 northern sites were only surveyed in 2004. Removing in the Maldives affected some of our final models or conclusions, which we now state in the manuscript. </w:t>
      </w:r>
    </w:p>
    <w:p w:rsidR="001B647B" w:rsidRPr="002B2A3C" w:rsidRDefault="001B647B" w:rsidP="001B647B">
      <w:pPr>
        <w:autoSpaceDE w:val="0"/>
        <w:autoSpaceDN w:val="0"/>
        <w:adjustRightInd w:val="0"/>
        <w:spacing w:line="480" w:lineRule="auto"/>
        <w:rPr>
          <w:szCs w:val="20"/>
        </w:rPr>
      </w:pPr>
      <w:r w:rsidRPr="002B2A3C">
        <w:rPr>
          <w:szCs w:val="20"/>
          <w:vertAlign w:val="superscript"/>
        </w:rPr>
        <w:t>1</w:t>
      </w:r>
      <w:r w:rsidRPr="002B2A3C">
        <w:rPr>
          <w:szCs w:val="20"/>
        </w:rPr>
        <w:t>There is no longer an effect of latitude or year*latitude on hard coral cover</w:t>
      </w:r>
      <w:r>
        <w:rPr>
          <w:szCs w:val="20"/>
        </w:rPr>
        <w:t>.</w:t>
      </w:r>
    </w:p>
    <w:p w:rsidR="001B647B" w:rsidRPr="002B2A3C" w:rsidRDefault="001B647B" w:rsidP="001B647B">
      <w:pPr>
        <w:autoSpaceDE w:val="0"/>
        <w:autoSpaceDN w:val="0"/>
        <w:adjustRightInd w:val="0"/>
        <w:spacing w:line="480" w:lineRule="auto"/>
        <w:rPr>
          <w:szCs w:val="20"/>
        </w:rPr>
      </w:pPr>
      <w:r w:rsidRPr="002B2A3C">
        <w:rPr>
          <w:szCs w:val="20"/>
          <w:vertAlign w:val="superscript"/>
        </w:rPr>
        <w:t>2</w:t>
      </w:r>
      <w:r w:rsidRPr="002B2A3C">
        <w:rPr>
          <w:szCs w:val="20"/>
        </w:rPr>
        <w:t>Mainland-island geogr</w:t>
      </w:r>
      <w:r w:rsidR="00241951">
        <w:rPr>
          <w:szCs w:val="20"/>
        </w:rPr>
        <w:t xml:space="preserve">aphy no longer affects </w:t>
      </w:r>
      <w:proofErr w:type="spellStart"/>
      <w:r w:rsidR="00241951">
        <w:rPr>
          <w:szCs w:val="20"/>
        </w:rPr>
        <w:t>acropori</w:t>
      </w:r>
      <w:r w:rsidRPr="002B2A3C">
        <w:rPr>
          <w:szCs w:val="20"/>
        </w:rPr>
        <w:t>d</w:t>
      </w:r>
      <w:proofErr w:type="spellEnd"/>
      <w:r w:rsidRPr="002B2A3C">
        <w:rPr>
          <w:szCs w:val="20"/>
        </w:rPr>
        <w:t xml:space="preserve"> cover</w:t>
      </w:r>
      <w:r>
        <w:rPr>
          <w:szCs w:val="20"/>
        </w:rPr>
        <w:t>.</w:t>
      </w:r>
    </w:p>
    <w:p w:rsidR="001B647B" w:rsidRPr="00120B16" w:rsidRDefault="001B647B" w:rsidP="001B647B">
      <w:pPr>
        <w:autoSpaceDE w:val="0"/>
        <w:autoSpaceDN w:val="0"/>
        <w:adjustRightInd w:val="0"/>
        <w:spacing w:line="480" w:lineRule="auto"/>
        <w:rPr>
          <w:sz w:val="22"/>
          <w:szCs w:val="22"/>
        </w:rPr>
      </w:pPr>
      <w:r w:rsidRPr="002B2A3C">
        <w:rPr>
          <w:szCs w:val="20"/>
          <w:vertAlign w:val="superscript"/>
        </w:rPr>
        <w:t>3</w:t>
      </w:r>
      <w:r>
        <w:rPr>
          <w:szCs w:val="20"/>
        </w:rPr>
        <w:t xml:space="preserve">We now observe </w:t>
      </w:r>
      <w:r w:rsidRPr="002B2A3C">
        <w:rPr>
          <w:szCs w:val="20"/>
        </w:rPr>
        <w:t>a significant effect of management on bleaching susceptibility.</w:t>
      </w:r>
    </w:p>
    <w:p w:rsidR="00EF3B48" w:rsidRDefault="00EF3B48"/>
    <w:sectPr w:rsidR="00EF3B48" w:rsidSect="002B2A3C">
      <w:pgSz w:w="12240" w:h="15840"/>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useFELayout/>
  </w:compat>
  <w:rsids>
    <w:rsidRoot w:val="001B647B"/>
    <w:rsid w:val="00092266"/>
    <w:rsid w:val="001B647B"/>
    <w:rsid w:val="00241951"/>
    <w:rsid w:val="002676D5"/>
    <w:rsid w:val="00356117"/>
    <w:rsid w:val="00411F6F"/>
    <w:rsid w:val="0048551F"/>
    <w:rsid w:val="00EF3B4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7B"/>
    <w:pPr>
      <w:spacing w:after="0" w:line="240" w:lineRule="auto"/>
    </w:pPr>
    <w:rPr>
      <w:rFonts w:ascii="Arial" w:eastAsia="Times New Roman"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Company>University of Warwick</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MAteweberhan</dc:creator>
  <cp:keywords/>
  <dc:description/>
  <cp:lastModifiedBy>MAteweberhan</cp:lastModifiedBy>
  <cp:revision>2</cp:revision>
  <dcterms:created xsi:type="dcterms:W3CDTF">2014-03-12T08:31:00Z</dcterms:created>
  <dcterms:modified xsi:type="dcterms:W3CDTF">2014-03-12T08:32:00Z</dcterms:modified>
</cp:coreProperties>
</file>