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C7" w:rsidRPr="00CE1480" w:rsidRDefault="006001C7" w:rsidP="00FF3107">
      <w:pPr>
        <w:jc w:val="both"/>
        <w:rPr>
          <w:b/>
        </w:rPr>
      </w:pPr>
      <w:r w:rsidRPr="00CE1480">
        <w:rPr>
          <w:b/>
        </w:rPr>
        <w:t xml:space="preserve">Table S6. Location of </w:t>
      </w:r>
      <w:proofErr w:type="spellStart"/>
      <w:r w:rsidRPr="00CE1480">
        <w:rPr>
          <w:b/>
        </w:rPr>
        <w:t>SsrB</w:t>
      </w:r>
      <w:proofErr w:type="spellEnd"/>
      <w:r w:rsidRPr="00CE1480">
        <w:rPr>
          <w:b/>
        </w:rPr>
        <w:t xml:space="preserve"> binding sites relative to transcription start sites at </w:t>
      </w:r>
      <w:proofErr w:type="spellStart"/>
      <w:r w:rsidRPr="00CE1480">
        <w:rPr>
          <w:b/>
        </w:rPr>
        <w:t>SsrB</w:t>
      </w:r>
      <w:proofErr w:type="spellEnd"/>
      <w:r w:rsidRPr="00CE1480">
        <w:rPr>
          <w:b/>
        </w:rPr>
        <w:t xml:space="preserve"> dependent promoters.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9355"/>
      </w:tblGrid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b/>
              </w:rPr>
            </w:pPr>
            <w:r w:rsidRPr="008914E5">
              <w:rPr>
                <w:b/>
              </w:rPr>
              <w:t>Gene name</w:t>
            </w:r>
          </w:p>
        </w:tc>
        <w:tc>
          <w:tcPr>
            <w:tcW w:w="9355" w:type="dxa"/>
            <w:vAlign w:val="center"/>
          </w:tcPr>
          <w:p w:rsidR="006001C7" w:rsidRPr="00780923" w:rsidRDefault="006001C7" w:rsidP="002D25A3">
            <w:pPr>
              <w:jc w:val="center"/>
              <w:rPr>
                <w:b/>
              </w:rPr>
            </w:pPr>
            <w:r>
              <w:rPr>
                <w:b/>
              </w:rPr>
              <w:t>Promoter regions</w:t>
            </w:r>
            <w:r w:rsidRPr="00780923">
              <w:rPr>
                <w:b/>
              </w:rPr>
              <w:t xml:space="preserve"> showing predicted </w:t>
            </w:r>
            <w:proofErr w:type="spellStart"/>
            <w:r w:rsidRPr="00780923">
              <w:rPr>
                <w:b/>
              </w:rPr>
              <w:t>SsrB</w:t>
            </w:r>
            <w:proofErr w:type="spellEnd"/>
            <w:r w:rsidRPr="00780923">
              <w:rPr>
                <w:b/>
              </w:rPr>
              <w:t xml:space="preserve"> binding motifs</w:t>
            </w:r>
            <w:r>
              <w:rPr>
                <w:b/>
              </w:rPr>
              <w:t>.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ssaB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AGTCGAAATAAATGTGA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ATCAGGCTTTTTACGGAT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GTGGTTGTGAGCGAATTTGATAGAAACTCCCATTT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ssaG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GCGCCGGAGTAATCGTT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TTCAGGTATATACCGGAT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GTTCATTGCTTTCTAAATTTTGCTATGTTGCCAGT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ssaM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TCGTGAAGTAAAGATAA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ATCAGGTTTTATTCTGAT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ACCTGGCTTTCAATATTTAGGTAAATTGGCTTT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C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 -33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ssaR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TTGGTATCTTTGCAAAA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ATACAGCGTAAACCTGAT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AAGAAAAATAATATGCGAACAATATAATAGCGTT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C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-34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r w:rsidRPr="008914E5">
              <w:rPr>
                <w:i/>
              </w:rPr>
              <w:t>sopD2</w:t>
            </w:r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GTCGCATTCAACGCGCA</w:t>
            </w:r>
            <w:r w:rsidRPr="008914E5">
              <w:rPr>
                <w:rFonts w:ascii="Courier New" w:hAnsi="Courier New" w:cs="Courier New"/>
                <w:color w:val="000000" w:themeColor="text1"/>
                <w:sz w:val="20"/>
                <w:szCs w:val="20"/>
                <w:highlight w:val="red"/>
              </w:rPr>
              <w:t>ATCAGGTGTAAATCTGAT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GTCATTTCTAAACCCAGGCTGATTCAATCTCTTAA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sifA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tabs>
                <w:tab w:val="left" w:pos="1701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CGTTTATACGCGAAGCT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CTCAGGTTTTATACTGAT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TGCCAGTCTCTTTTAAAAATTATATTACATCCGAT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sifB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TTCAGGACAAAGCAAAA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ATCAGGTGTTTCACCGAT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AGGCAAACCGATGGGCAACATGGGATAATATTTCG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r w:rsidRPr="008914E5">
              <w:rPr>
                <w:i/>
              </w:rPr>
              <w:t>sseK2</w:t>
            </w:r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TCTTCCAATTTATTAAA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CTAAGGTTAAAACCCGAT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ATCTTATCAATCTCAAATCATGGTATGTTATATTA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sseL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ATGTGAATAATAAGAAA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ATCAGGTCTATGCCTGAT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TTAATATATCCCCCGCTAATAATAATATTTTTAC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-34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steC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tabs>
                <w:tab w:val="left" w:pos="1701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TATGAAAAATTTTGGAA</w:t>
            </w:r>
            <w:r w:rsidRPr="008914E5">
              <w:rPr>
                <w:rFonts w:ascii="Courier New" w:hAnsi="Courier New" w:cs="Courier New"/>
                <w:color w:val="FF0000"/>
                <w:sz w:val="20"/>
                <w:szCs w:val="20"/>
              </w:rPr>
              <w:t>ATCAGGTGATTAC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AGTAGTTACAA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ATCAGGTTTTTATATGTT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TGCATGTGT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 -33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sseA</w:t>
            </w:r>
            <w:proofErr w:type="spellEnd"/>
            <w:r w:rsidRPr="00C664FA">
              <w:rPr>
                <w:b/>
              </w:rPr>
              <w:t>’</w:t>
            </w:r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ACAGGATCCGCAGCAAT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ATCAGCAAAACACCTTAT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TGCTTGAAGCGATCGAGCAGGCCGAAAATATCATC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r w:rsidRPr="008914E5">
              <w:rPr>
                <w:i/>
              </w:rPr>
              <w:t>sspH2</w:t>
            </w:r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TGTCAGGACGACCATGA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ATCCGCCGATAACCTTAT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TGTGAAATTAAGACCAGGAAGAGATGATGTCTGC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C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-34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sseJ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AAGAAGCGTAATTCCAT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ATACACCATTTACCTGAT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TACTTTTCTTGCTAATATTTGCTAATTAATTATTT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r w:rsidRPr="008914E5">
              <w:rPr>
                <w:i/>
              </w:rPr>
              <w:t>pipB2</w:t>
            </w:r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TATGTAACCAGACGTAA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AGGGGGTATTCACCTTAT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CTCTAAATGCAAATCTATATGATAAATTTTATCAT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srcA</w:t>
            </w:r>
            <w:proofErr w:type="spellEnd"/>
          </w:p>
        </w:tc>
        <w:tc>
          <w:tcPr>
            <w:tcW w:w="9355" w:type="dxa"/>
          </w:tcPr>
          <w:p w:rsidR="006001C7" w:rsidRDefault="006001C7" w:rsidP="002D25A3">
            <w:pPr>
              <w:ind w:right="-33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ATTTCAAACACCATAAT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ATCAGATAAAAACCTGAT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ATTTATTACCAAACATACTTTTTAATAGCATAAAATCGAAA</w:t>
            </w:r>
          </w:p>
          <w:p w:rsidR="006001C7" w:rsidRPr="008914E5" w:rsidRDefault="006001C7" w:rsidP="002D25A3">
            <w:pPr>
              <w:ind w:right="-33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TGTTCTTTAGACTCTTTAGC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-62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ssrB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GGCTGGAGAAAAAATCG</w:t>
            </w:r>
            <w:r w:rsidRPr="008914E5">
              <w:rPr>
                <w:rFonts w:ascii="Courier New" w:hAnsi="Courier New" w:cs="Courier New"/>
                <w:color w:val="FF0000"/>
                <w:sz w:val="20"/>
                <w:szCs w:val="20"/>
              </w:rPr>
              <w:t>ATCAGTTAATTCACACAT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TAAAAGGCTGTTTAGGTCAAATAGGGCAGACTGAATTG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TATGCTATGTCATAGACATTGAGAATCGCGTAAAAATGGGGAAAATCATCGCGCTGGAGGAACTAACCGACTTACGCCAGAAAATACGTATGATCTTCAAAAAC</w:t>
            </w:r>
            <w:r w:rsidRPr="008914E5">
              <w:rPr>
                <w:rFonts w:ascii="Courier New" w:hAnsi="Courier New" w:cs="Courier New"/>
                <w:color w:val="0070C0"/>
                <w:sz w:val="20"/>
                <w:szCs w:val="20"/>
              </w:rPr>
              <w:t>TACACCATTACTTAATAT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TATCTTAATTTTCGCGAGGGCAGCAAA</w:t>
            </w:r>
            <w:r w:rsidRPr="00DD5FE4">
              <w:rPr>
                <w:rFonts w:ascii="Courier New" w:hAnsi="Courier New" w:cs="Courier New"/>
                <w:sz w:val="20"/>
                <w:szCs w:val="20"/>
                <w:u w:val="single"/>
              </w:rPr>
              <w:t>ATG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-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sseI</w:t>
            </w:r>
            <w:proofErr w:type="spellEnd"/>
          </w:p>
        </w:tc>
        <w:tc>
          <w:tcPr>
            <w:tcW w:w="9355" w:type="dxa"/>
          </w:tcPr>
          <w:p w:rsidR="006001C7" w:rsidRDefault="006001C7" w:rsidP="002D25A3">
            <w:pPr>
              <w:tabs>
                <w:tab w:val="left" w:pos="0"/>
              </w:tabs>
              <w:ind w:right="-33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CCCCAGCGTTAATTCTATGCGCC</w:t>
            </w:r>
            <w:r w:rsidRPr="008914E5">
              <w:rPr>
                <w:rFonts w:ascii="Courier New" w:hAnsi="Courier New" w:cs="Courier New"/>
                <w:color w:val="0070C0"/>
                <w:sz w:val="20"/>
                <w:szCs w:val="20"/>
              </w:rPr>
              <w:t>AGTCCTTAATGGCATTATCTGAATCGTT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AAGTAATTTCTGCCGGGTGACTTC</w:t>
            </w:r>
          </w:p>
          <w:p w:rsidR="006001C7" w:rsidRDefault="006001C7" w:rsidP="002D25A3">
            <w:pPr>
              <w:tabs>
                <w:tab w:val="left" w:pos="0"/>
              </w:tabs>
              <w:ind w:right="-33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TGCTGCCAAAATTGAACGCCGGGCGTTGATACCGGATGATCTGGTCATCGTGGAAAGCGACCCTGAAAA</w:t>
            </w:r>
            <w:r w:rsidRPr="008914E5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ATCGAC</w:t>
            </w:r>
          </w:p>
          <w:p w:rsidR="006001C7" w:rsidRDefault="006001C7" w:rsidP="002D25A3">
            <w:pPr>
              <w:tabs>
                <w:tab w:val="left" w:pos="0"/>
              </w:tabs>
              <w:ind w:right="-33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ACTTAGCTGTAAAATGACAGTCCCGCCATCCGGTCATCATAACGGATTTTTCTTCTGCACCTTCTGAAGCCCGCCA</w:t>
            </w:r>
          </w:p>
          <w:p w:rsidR="006001C7" w:rsidRDefault="006001C7" w:rsidP="002D25A3">
            <w:pPr>
              <w:tabs>
                <w:tab w:val="left" w:pos="0"/>
              </w:tabs>
              <w:ind w:right="-33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TGGCAGGACGACCATGA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ATCCGCCGATAACCTTAT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TGTGAAATTAAGACCAGGAAGAGATGATGTCTGT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C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GGACAG</w:t>
            </w:r>
          </w:p>
          <w:p w:rsidR="006001C7" w:rsidRPr="008914E5" w:rsidRDefault="006001C7" w:rsidP="002D25A3">
            <w:pPr>
              <w:tabs>
                <w:tab w:val="left" w:pos="0"/>
              </w:tabs>
              <w:ind w:right="-33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ATACTATATGTAAATTTATAAAGGTTTTTTGTT</w:t>
            </w:r>
            <w:r w:rsidRPr="008914E5">
              <w:rPr>
                <w:rFonts w:ascii="Courier New" w:hAnsi="Courier New" w:cs="Courier New"/>
                <w:sz w:val="20"/>
                <w:szCs w:val="20"/>
                <w:u w:val="single"/>
              </w:rPr>
              <w:t>ATG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-34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pipB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tabs>
                <w:tab w:val="left" w:pos="1701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TGTAAGTATTCCTGCTC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ATCAGGTTTTTACGCCAT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CTACGCGCATTTATTCTGGTATAAGTTGAAATACTGCAAAAAATATTGGTGCTTATTATTTTTTCTTTAAGTAAATTTTCGCTCAACAAACTTAATTGTTTATTCAATGATGATGAAGCGTAAGCTATGCTGGAAAT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AAGGAAGTCAATAGCAAGGATAATCTTATTATTCACGGGTGATATTACTTCTGCTTCACCGTTATGGCAGATATCATCGCCTCTTGTCAGATGCCAGACACCTACTCATACTCAACCAAAGCTCTAAATACAAAAATCACCTTATATCTTTTTTTATTATTCCTTGTATAAATGTGAC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-137,-316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steB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ATCAATAGCTTATAGAT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TTCCGGCATAGACCATCA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AGAATCAGTTCACATTCAGCATATTCAGCTCATGGGAACTTTTTCAGGCCACAGACAATAAACACCAAAGCTTTCTTTCTAAGCTGCAATGTTCTGCCCGACTGGGGCACAGAGGTAATGCCGGTAAATCCAGTCCCATTACCCAGAAGTAAATATTTGCTTAATAGTTTTTATTTACTCACCAGGTGGTAATGAATAAAGGTTATGATATGCAG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 xml:space="preserve">  -215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slrP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ATATCCTTATCTGTTAC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TTTAGGTTAC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TTCAGAT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CAGGTAGGGAAAAT</w:t>
            </w:r>
            <w:r w:rsidRPr="008914E5">
              <w:rPr>
                <w:rFonts w:ascii="Courier New" w:hAnsi="Courier New" w:cs="Courier New"/>
                <w:sz w:val="20"/>
                <w:szCs w:val="20"/>
                <w:u w:val="single"/>
              </w:rPr>
              <w:t>ATG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sseA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GTTCAAAATGGCAAGTA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AAATAGCCCTAATGG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GA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AGGCTCTTAGTTAGCACGTTAATTATCTATCGTGTATATGGAGGGGAATGATGATAAAGAAAAAGGCTGCGTTTAGTGAATATCGTGATTTAGAGCAAAGTTAC</w:t>
            </w:r>
            <w:r w:rsidRPr="00DD5FE4">
              <w:rPr>
                <w:rFonts w:ascii="Courier New" w:hAnsi="Courier New" w:cs="Courier New"/>
                <w:sz w:val="20"/>
                <w:szCs w:val="20"/>
                <w:u w:val="single"/>
              </w:rPr>
              <w:t>ATG</w:t>
            </w:r>
          </w:p>
        </w:tc>
      </w:tr>
      <w:tr w:rsidR="006001C7" w:rsidTr="002D25A3">
        <w:tc>
          <w:tcPr>
            <w:tcW w:w="959" w:type="dxa"/>
          </w:tcPr>
          <w:p w:rsidR="006001C7" w:rsidRPr="008914E5" w:rsidRDefault="006001C7" w:rsidP="002D25A3">
            <w:pPr>
              <w:rPr>
                <w:i/>
              </w:rPr>
            </w:pPr>
            <w:proofErr w:type="spellStart"/>
            <w:r w:rsidRPr="008914E5">
              <w:rPr>
                <w:i/>
              </w:rPr>
              <w:t>ssrA</w:t>
            </w:r>
            <w:proofErr w:type="spellEnd"/>
          </w:p>
        </w:tc>
        <w:tc>
          <w:tcPr>
            <w:tcW w:w="9355" w:type="dxa"/>
          </w:tcPr>
          <w:p w:rsidR="006001C7" w:rsidRPr="008914E5" w:rsidRDefault="006001C7" w:rsidP="002D25A3">
            <w:pPr>
              <w:tabs>
                <w:tab w:val="left" w:pos="1701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914E5">
              <w:rPr>
                <w:rFonts w:ascii="Courier New" w:hAnsi="Courier New" w:cs="Courier New"/>
                <w:sz w:val="20"/>
                <w:szCs w:val="20"/>
              </w:rPr>
              <w:t>CTATACTCTT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C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TTGTACAATATCAGGATGCTGTCTACATATACCTTGTCACAGGCGATTCTATCATTCGGATTTTCCGATAAATTCACAATTACATTTTCAGCATTGACATAAAAACTTACAATTTGAAAAATTATTTATTAAATAAACTGTTACGATGTTTTT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yellow"/>
              </w:rPr>
              <w:t>A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CATCGCCATCTTATTAAAAAGTAATTGTAGTCATCGACTGGGTTATATATGAAGAAATTTATCTTCCTAATGATAACACC</w:t>
            </w:r>
            <w:r w:rsidRPr="008914E5">
              <w:rPr>
                <w:rFonts w:ascii="Courier New" w:hAnsi="Courier New" w:cs="Courier New"/>
                <w:sz w:val="20"/>
                <w:szCs w:val="20"/>
                <w:highlight w:val="red"/>
              </w:rPr>
              <w:t>ATCGATTAATCTTCTGAT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GAAACTATATGTACTGCGATAGTGATCAAGTGCCAAAGATTTTGCAACAGGCAACTGGAGGGAAGCATT</w:t>
            </w:r>
            <w:r w:rsidRPr="00DD5FE4">
              <w:rPr>
                <w:rFonts w:ascii="Courier New" w:hAnsi="Courier New" w:cs="Courier New"/>
                <w:sz w:val="20"/>
                <w:szCs w:val="20"/>
                <w:u w:val="single"/>
              </w:rPr>
              <w:t>ATG</w:t>
            </w:r>
            <w:r w:rsidRPr="00DD5FE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+80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8914E5">
              <w:rPr>
                <w:rFonts w:ascii="Courier New" w:hAnsi="Courier New" w:cs="Courier New"/>
                <w:sz w:val="20"/>
                <w:szCs w:val="20"/>
              </w:rPr>
              <w:t>+234</w:t>
            </w:r>
          </w:p>
        </w:tc>
      </w:tr>
    </w:tbl>
    <w:p w:rsidR="006001C7" w:rsidRDefault="006001C7" w:rsidP="00FF3107"/>
    <w:p w:rsidR="006001C7" w:rsidRPr="00CE1480" w:rsidRDefault="006001C7" w:rsidP="00C92A6E">
      <w:pPr>
        <w:tabs>
          <w:tab w:val="left" w:pos="0"/>
          <w:tab w:val="left" w:pos="709"/>
        </w:tabs>
        <w:spacing w:after="0" w:line="360" w:lineRule="auto"/>
        <w:jc w:val="both"/>
      </w:pPr>
      <w:r w:rsidRPr="00CE1480">
        <w:tab/>
        <w:t xml:space="preserve">The above Table shows maps of the </w:t>
      </w:r>
      <w:proofErr w:type="spellStart"/>
      <w:r w:rsidRPr="00CE1480">
        <w:t>SsrB</w:t>
      </w:r>
      <w:proofErr w:type="spellEnd"/>
      <w:r w:rsidRPr="00CE1480">
        <w:t xml:space="preserve"> regulated promoters containing </w:t>
      </w:r>
      <w:proofErr w:type="spellStart"/>
      <w:r w:rsidRPr="00CE1480">
        <w:t>SsrB</w:t>
      </w:r>
      <w:proofErr w:type="spellEnd"/>
      <w:r w:rsidRPr="00CE1480">
        <w:t xml:space="preserve"> binding sites (identified in [5]) for which TSS information is also available. The </w:t>
      </w:r>
      <w:proofErr w:type="spellStart"/>
      <w:r w:rsidRPr="00CE1480">
        <w:t>SsrB</w:t>
      </w:r>
      <w:proofErr w:type="spellEnd"/>
      <w:r w:rsidRPr="00CE1480">
        <w:t xml:space="preserve"> binding sites are shown in red </w:t>
      </w:r>
      <w:proofErr w:type="gramStart"/>
      <w:r w:rsidRPr="00CE1480">
        <w:t>blocks,</w:t>
      </w:r>
      <w:proofErr w:type="gramEnd"/>
      <w:r w:rsidRPr="00CE1480">
        <w:t xml:space="preserve"> TSSs are shown in yellow blocks. Following alignment of promoter regions we were able to visually identify two ‘new’ potential </w:t>
      </w:r>
      <w:proofErr w:type="spellStart"/>
      <w:r w:rsidRPr="00CE1480">
        <w:t>SsrB</w:t>
      </w:r>
      <w:proofErr w:type="spellEnd"/>
      <w:r w:rsidRPr="00CE1480">
        <w:t xml:space="preserve"> consensus binding sites (as defined in [5]), approximately 35 nucleotide</w:t>
      </w:r>
      <w:bookmarkStart w:id="0" w:name="_GoBack"/>
      <w:bookmarkEnd w:id="0"/>
      <w:r w:rsidRPr="00CE1480">
        <w:t xml:space="preserve">s upstream of the </w:t>
      </w:r>
      <w:proofErr w:type="spellStart"/>
      <w:r w:rsidRPr="00CE1480">
        <w:rPr>
          <w:i/>
          <w:iCs/>
        </w:rPr>
        <w:t>steC</w:t>
      </w:r>
      <w:proofErr w:type="spellEnd"/>
      <w:r w:rsidRPr="00CE1480">
        <w:t xml:space="preserve"> and </w:t>
      </w:r>
      <w:proofErr w:type="spellStart"/>
      <w:r w:rsidRPr="00CE1480">
        <w:rPr>
          <w:i/>
          <w:iCs/>
        </w:rPr>
        <w:t>ssrB</w:t>
      </w:r>
      <w:proofErr w:type="spellEnd"/>
      <w:r w:rsidRPr="00CE1480">
        <w:t xml:space="preserve"> </w:t>
      </w:r>
      <w:r w:rsidRPr="00CE1480">
        <w:lastRenderedPageBreak/>
        <w:t xml:space="preserve">TSSs, and these are shown in red text. Translational start codons are underlined and </w:t>
      </w:r>
      <w:proofErr w:type="spellStart"/>
      <w:r w:rsidRPr="00CE1480">
        <w:t>DNase</w:t>
      </w:r>
      <w:proofErr w:type="spellEnd"/>
      <w:r w:rsidRPr="00CE1480">
        <w:t xml:space="preserve"> I </w:t>
      </w:r>
      <w:proofErr w:type="spellStart"/>
      <w:r w:rsidRPr="00CE1480">
        <w:t>footprinted</w:t>
      </w:r>
      <w:proofErr w:type="spellEnd"/>
      <w:r w:rsidRPr="00CE1480">
        <w:t xml:space="preserve"> </w:t>
      </w:r>
      <w:proofErr w:type="spellStart"/>
      <w:r w:rsidRPr="00CE1480">
        <w:t>SsrB</w:t>
      </w:r>
      <w:proofErr w:type="spellEnd"/>
      <w:r w:rsidRPr="00CE1480">
        <w:t xml:space="preserve"> binding sites that do not overlap the sites identified in [5] are shown in blue text. The number of nucleotides between the consensus </w:t>
      </w:r>
      <w:proofErr w:type="spellStart"/>
      <w:r w:rsidRPr="00CE1480">
        <w:t>SsrB</w:t>
      </w:r>
      <w:proofErr w:type="spellEnd"/>
      <w:r w:rsidRPr="00CE1480">
        <w:t xml:space="preserve"> binding motif and the TSS is given at the end of each sequence. TSSs were previously reported for </w:t>
      </w:r>
      <w:proofErr w:type="spellStart"/>
      <w:r w:rsidRPr="00CE1480">
        <w:rPr>
          <w:i/>
        </w:rPr>
        <w:t>ssaB</w:t>
      </w:r>
      <w:proofErr w:type="spellEnd"/>
      <w:r w:rsidRPr="00CE1480">
        <w:rPr>
          <w:i/>
        </w:rPr>
        <w:t xml:space="preserve">, </w:t>
      </w:r>
      <w:proofErr w:type="spellStart"/>
      <w:r w:rsidRPr="00CE1480">
        <w:rPr>
          <w:i/>
        </w:rPr>
        <w:t>ssaG</w:t>
      </w:r>
      <w:proofErr w:type="spellEnd"/>
      <w:r w:rsidRPr="00CE1480">
        <w:t xml:space="preserve">, </w:t>
      </w:r>
      <w:proofErr w:type="spellStart"/>
      <w:r w:rsidRPr="00CE1480">
        <w:rPr>
          <w:i/>
        </w:rPr>
        <w:t>ssaM</w:t>
      </w:r>
      <w:proofErr w:type="spellEnd"/>
      <w:r w:rsidRPr="00CE1480">
        <w:rPr>
          <w:i/>
        </w:rPr>
        <w:t xml:space="preserve">, </w:t>
      </w:r>
      <w:proofErr w:type="spellStart"/>
      <w:r w:rsidRPr="00CE1480">
        <w:rPr>
          <w:i/>
        </w:rPr>
        <w:t>sseA</w:t>
      </w:r>
      <w:proofErr w:type="spellEnd"/>
      <w:r w:rsidRPr="00CE1480">
        <w:t xml:space="preserve"> [6], </w:t>
      </w:r>
      <w:proofErr w:type="spellStart"/>
      <w:r w:rsidRPr="00CE1480">
        <w:rPr>
          <w:i/>
        </w:rPr>
        <w:t>sifA</w:t>
      </w:r>
      <w:proofErr w:type="spellEnd"/>
      <w:r w:rsidRPr="00CE1480">
        <w:t xml:space="preserve">, </w:t>
      </w:r>
      <w:proofErr w:type="spellStart"/>
      <w:r w:rsidRPr="00CE1480">
        <w:rPr>
          <w:i/>
        </w:rPr>
        <w:t>sifB</w:t>
      </w:r>
      <w:proofErr w:type="spellEnd"/>
      <w:r w:rsidRPr="00CE1480">
        <w:rPr>
          <w:i/>
        </w:rPr>
        <w:t xml:space="preserve">, </w:t>
      </w:r>
      <w:proofErr w:type="spellStart"/>
      <w:r w:rsidRPr="00CE1480">
        <w:rPr>
          <w:i/>
        </w:rPr>
        <w:t>sseJ</w:t>
      </w:r>
      <w:proofErr w:type="spellEnd"/>
      <w:r w:rsidRPr="00CE1480">
        <w:t xml:space="preserve"> [6], </w:t>
      </w:r>
      <w:proofErr w:type="spellStart"/>
      <w:r w:rsidRPr="00CE1480">
        <w:rPr>
          <w:i/>
        </w:rPr>
        <w:t>ssrA</w:t>
      </w:r>
      <w:proofErr w:type="spellEnd"/>
      <w:r w:rsidRPr="00CE1480">
        <w:t xml:space="preserve">, </w:t>
      </w:r>
      <w:proofErr w:type="spellStart"/>
      <w:r w:rsidRPr="00CE1480">
        <w:rPr>
          <w:i/>
        </w:rPr>
        <w:t>ssrB</w:t>
      </w:r>
      <w:proofErr w:type="spellEnd"/>
      <w:r w:rsidRPr="00CE1480">
        <w:t xml:space="preserve"> [1], </w:t>
      </w:r>
      <w:proofErr w:type="spellStart"/>
      <w:r w:rsidRPr="00CE1480">
        <w:rPr>
          <w:i/>
        </w:rPr>
        <w:t>sseI</w:t>
      </w:r>
      <w:proofErr w:type="spellEnd"/>
      <w:r w:rsidRPr="00CE1480">
        <w:t xml:space="preserve"> [2], </w:t>
      </w:r>
      <w:r w:rsidRPr="00CE1480">
        <w:rPr>
          <w:i/>
        </w:rPr>
        <w:t>sseK3</w:t>
      </w:r>
      <w:r w:rsidRPr="00CE1480">
        <w:t xml:space="preserve">, </w:t>
      </w:r>
      <w:proofErr w:type="spellStart"/>
      <w:r w:rsidRPr="00CE1480">
        <w:rPr>
          <w:i/>
        </w:rPr>
        <w:t>sseL</w:t>
      </w:r>
      <w:proofErr w:type="spellEnd"/>
      <w:r w:rsidRPr="00CE1480">
        <w:t xml:space="preserve">, </w:t>
      </w:r>
      <w:proofErr w:type="spellStart"/>
      <w:r w:rsidRPr="00CE1480">
        <w:rPr>
          <w:i/>
        </w:rPr>
        <w:t>steB</w:t>
      </w:r>
      <w:proofErr w:type="spellEnd"/>
      <w:r w:rsidRPr="00CE1480">
        <w:t xml:space="preserve">, </w:t>
      </w:r>
      <w:proofErr w:type="spellStart"/>
      <w:r w:rsidRPr="00CE1480">
        <w:rPr>
          <w:i/>
        </w:rPr>
        <w:t>slrP</w:t>
      </w:r>
      <w:proofErr w:type="gramStart"/>
      <w:r w:rsidRPr="00CE1480">
        <w:rPr>
          <w:i/>
        </w:rPr>
        <w:t>,sseA</w:t>
      </w:r>
      <w:proofErr w:type="spellEnd"/>
      <w:proofErr w:type="gramEnd"/>
      <w:r w:rsidRPr="00CE1480">
        <w:rPr>
          <w:i/>
        </w:rPr>
        <w:t xml:space="preserve"> </w:t>
      </w:r>
      <w:r w:rsidRPr="00CE1480">
        <w:t xml:space="preserve">[4]. The remainder of TSSs were identified from this work; the </w:t>
      </w:r>
      <w:proofErr w:type="spellStart"/>
      <w:r w:rsidRPr="00CE1480">
        <w:t>dRNA-seq</w:t>
      </w:r>
      <w:proofErr w:type="spellEnd"/>
      <w:r w:rsidRPr="00CE1480">
        <w:t xml:space="preserve"> identified TSSs for </w:t>
      </w:r>
      <w:r w:rsidRPr="00CE1480">
        <w:rPr>
          <w:i/>
        </w:rPr>
        <w:t>sopD2</w:t>
      </w:r>
      <w:r w:rsidRPr="00CE1480">
        <w:t xml:space="preserve">, </w:t>
      </w:r>
      <w:r w:rsidRPr="00CE1480">
        <w:rPr>
          <w:i/>
        </w:rPr>
        <w:t>sspH2</w:t>
      </w:r>
      <w:r w:rsidRPr="00CE1480">
        <w:t xml:space="preserve"> and </w:t>
      </w:r>
      <w:proofErr w:type="spellStart"/>
      <w:r w:rsidRPr="00CE1480">
        <w:rPr>
          <w:i/>
        </w:rPr>
        <w:t>sseI</w:t>
      </w:r>
      <w:proofErr w:type="spellEnd"/>
      <w:r w:rsidRPr="00CE1480">
        <w:t xml:space="preserve"> are not entirely certain but are included for comparison since they are all located 34-35 nucleotides downstream of </w:t>
      </w:r>
      <w:proofErr w:type="spellStart"/>
      <w:r w:rsidRPr="00CE1480">
        <w:t>SsrB</w:t>
      </w:r>
      <w:proofErr w:type="spellEnd"/>
      <w:r w:rsidRPr="00CE1480">
        <w:t xml:space="preserve"> binding sites.</w:t>
      </w:r>
    </w:p>
    <w:p w:rsidR="006001C7" w:rsidRPr="00CE1480" w:rsidRDefault="006001C7" w:rsidP="00C92A6E">
      <w:pPr>
        <w:tabs>
          <w:tab w:val="left" w:pos="0"/>
        </w:tabs>
        <w:spacing w:after="0" w:line="360" w:lineRule="auto"/>
        <w:jc w:val="both"/>
      </w:pPr>
      <w:r w:rsidRPr="00CE1480">
        <w:rPr>
          <w:b/>
        </w:rPr>
        <w:t>Notes:</w:t>
      </w:r>
    </w:p>
    <w:p w:rsidR="006001C7" w:rsidRPr="00CE1480" w:rsidRDefault="006001C7" w:rsidP="00CE148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CE1480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steC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promoter the </w:t>
      </w:r>
      <w:proofErr w:type="spellStart"/>
      <w:r w:rsidRPr="00CE1480">
        <w:rPr>
          <w:rFonts w:ascii="Arial" w:hAnsi="Arial" w:cs="Arial"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binding site identified in [5] is shown as well as second partial </w:t>
      </w:r>
      <w:proofErr w:type="spellStart"/>
      <w:r w:rsidRPr="00CE1480">
        <w:rPr>
          <w:rFonts w:ascii="Arial" w:hAnsi="Arial" w:cs="Arial"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consensus binding site we identified immediately upstream of  the -35 element (red text).</w:t>
      </w:r>
    </w:p>
    <w:p w:rsidR="006001C7" w:rsidRPr="00CE1480" w:rsidRDefault="006001C7" w:rsidP="00CE148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CE1480">
        <w:rPr>
          <w:rFonts w:ascii="Arial" w:hAnsi="Arial" w:cs="Arial"/>
          <w:sz w:val="22"/>
          <w:szCs w:val="22"/>
        </w:rPr>
        <w:t xml:space="preserve">For the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sseL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promoter a TSS has previously been reported [3], and was found to be located 27 </w:t>
      </w:r>
      <w:proofErr w:type="spellStart"/>
      <w:proofErr w:type="gramStart"/>
      <w:r w:rsidRPr="00CE1480">
        <w:rPr>
          <w:rFonts w:ascii="Arial" w:hAnsi="Arial" w:cs="Arial"/>
          <w:sz w:val="22"/>
          <w:szCs w:val="22"/>
        </w:rPr>
        <w:t>nt</w:t>
      </w:r>
      <w:proofErr w:type="spellEnd"/>
      <w:proofErr w:type="gramEnd"/>
      <w:r w:rsidRPr="00CE1480">
        <w:rPr>
          <w:rFonts w:ascii="Arial" w:hAnsi="Arial" w:cs="Arial"/>
          <w:sz w:val="22"/>
          <w:szCs w:val="22"/>
        </w:rPr>
        <w:t xml:space="preserve"> downstream of the TSS identified in this study.</w:t>
      </w:r>
    </w:p>
    <w:p w:rsidR="006001C7" w:rsidRPr="00CE1480" w:rsidRDefault="006001C7" w:rsidP="00CE148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CE148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sseA</w:t>
      </w:r>
      <w:proofErr w:type="spellEnd"/>
      <w:r w:rsidRPr="00CE1480">
        <w:rPr>
          <w:rFonts w:ascii="Arial" w:hAnsi="Arial" w:cs="Arial"/>
          <w:b/>
          <w:i/>
          <w:sz w:val="22"/>
          <w:szCs w:val="22"/>
        </w:rPr>
        <w:t>’</w:t>
      </w:r>
      <w:r w:rsidRPr="00CE1480">
        <w:rPr>
          <w:rFonts w:ascii="Arial" w:hAnsi="Arial" w:cs="Arial"/>
          <w:sz w:val="22"/>
          <w:szCs w:val="22"/>
        </w:rPr>
        <w:t xml:space="preserve"> promoter region shows the TSS we previously identified within the 3’ end of the </w:t>
      </w:r>
      <w:proofErr w:type="spellStart"/>
      <w:r w:rsidRPr="00CE1480">
        <w:rPr>
          <w:rFonts w:ascii="Arial" w:hAnsi="Arial" w:cs="Arial"/>
          <w:sz w:val="22"/>
          <w:szCs w:val="22"/>
        </w:rPr>
        <w:t>SsaE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CDS [4], whereas the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sseA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promoter sequence shows the 2 TSSs identified in the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ssaE</w:t>
      </w:r>
      <w:r w:rsidRPr="00CE1480">
        <w:rPr>
          <w:rFonts w:ascii="Arial" w:hAnsi="Arial" w:cs="Arial"/>
          <w:sz w:val="22"/>
          <w:szCs w:val="22"/>
        </w:rPr>
        <w:t>-</w:t>
      </w:r>
      <w:r w:rsidRPr="00CE1480">
        <w:rPr>
          <w:rFonts w:ascii="Arial" w:hAnsi="Arial" w:cs="Arial"/>
          <w:i/>
          <w:sz w:val="22"/>
          <w:szCs w:val="22"/>
        </w:rPr>
        <w:t>sseA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480">
        <w:rPr>
          <w:rFonts w:ascii="Arial" w:hAnsi="Arial" w:cs="Arial"/>
          <w:sz w:val="22"/>
          <w:szCs w:val="22"/>
        </w:rPr>
        <w:t>intergenic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region by </w:t>
      </w:r>
      <w:proofErr w:type="spellStart"/>
      <w:r w:rsidRPr="00CE1480">
        <w:rPr>
          <w:rFonts w:ascii="Arial" w:hAnsi="Arial" w:cs="Arial"/>
          <w:sz w:val="22"/>
          <w:szCs w:val="22"/>
        </w:rPr>
        <w:t>Walthers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</w:t>
      </w:r>
      <w:r w:rsidRPr="00CE1480">
        <w:rPr>
          <w:rFonts w:ascii="Arial" w:hAnsi="Arial" w:cs="Arial"/>
          <w:i/>
          <w:sz w:val="22"/>
          <w:szCs w:val="22"/>
        </w:rPr>
        <w:t>et al.,</w:t>
      </w:r>
      <w:r w:rsidRPr="00CE1480">
        <w:rPr>
          <w:rFonts w:ascii="Arial" w:hAnsi="Arial" w:cs="Arial"/>
          <w:sz w:val="22"/>
          <w:szCs w:val="22"/>
        </w:rPr>
        <w:t xml:space="preserve"> (2007) [6] but not observed in our LSP </w:t>
      </w:r>
      <w:proofErr w:type="spellStart"/>
      <w:r w:rsidRPr="00CE1480">
        <w:rPr>
          <w:rFonts w:ascii="Arial" w:hAnsi="Arial" w:cs="Arial"/>
          <w:sz w:val="22"/>
          <w:szCs w:val="22"/>
        </w:rPr>
        <w:t>dRNA-seq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data.</w:t>
      </w:r>
    </w:p>
    <w:p w:rsidR="006001C7" w:rsidRPr="00CE1480" w:rsidRDefault="006001C7" w:rsidP="00CE148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E1480">
        <w:rPr>
          <w:rFonts w:ascii="Arial" w:hAnsi="Arial" w:cs="Arial"/>
          <w:i/>
          <w:sz w:val="22"/>
          <w:szCs w:val="22"/>
        </w:rPr>
        <w:t>srcA</w:t>
      </w:r>
      <w:proofErr w:type="spellEnd"/>
      <w:proofErr w:type="gramEnd"/>
      <w:r w:rsidRPr="00CE1480">
        <w:rPr>
          <w:rFonts w:ascii="Arial" w:hAnsi="Arial" w:cs="Arial"/>
          <w:sz w:val="22"/>
          <w:szCs w:val="22"/>
        </w:rPr>
        <w:t xml:space="preserve"> is co-transcribed from a promoter upstream of SL1344_2115.</w:t>
      </w:r>
    </w:p>
    <w:p w:rsidR="006001C7" w:rsidRPr="00CE1480" w:rsidRDefault="006001C7" w:rsidP="00CE148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CE1480">
        <w:rPr>
          <w:rFonts w:ascii="Arial" w:hAnsi="Arial" w:cs="Arial"/>
          <w:sz w:val="22"/>
          <w:szCs w:val="22"/>
        </w:rPr>
        <w:t>For</w:t>
      </w:r>
      <w:r w:rsidRPr="00CE148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sseI</w:t>
      </w:r>
      <w:proofErr w:type="spellEnd"/>
      <w:r w:rsidRPr="00CE1480">
        <w:rPr>
          <w:rFonts w:ascii="Arial" w:hAnsi="Arial" w:cs="Arial"/>
          <w:i/>
          <w:sz w:val="22"/>
          <w:szCs w:val="22"/>
        </w:rPr>
        <w:t xml:space="preserve"> a</w:t>
      </w:r>
      <w:r w:rsidRPr="00CE1480">
        <w:rPr>
          <w:rFonts w:ascii="Arial" w:hAnsi="Arial" w:cs="Arial"/>
          <w:sz w:val="22"/>
          <w:szCs w:val="22"/>
        </w:rPr>
        <w:t xml:space="preserve"> TSS was previously identified (shown as a bold ‘A’ in the above Table), and an </w:t>
      </w:r>
      <w:proofErr w:type="spellStart"/>
      <w:r w:rsidRPr="00CE1480">
        <w:rPr>
          <w:rFonts w:ascii="Arial" w:hAnsi="Arial" w:cs="Arial"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binding site was identified by </w:t>
      </w:r>
      <w:proofErr w:type="spellStart"/>
      <w:r w:rsidRPr="00CE1480">
        <w:rPr>
          <w:rFonts w:ascii="Arial" w:hAnsi="Arial" w:cs="Arial"/>
          <w:sz w:val="22"/>
          <w:szCs w:val="22"/>
        </w:rPr>
        <w:t>DNase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E1480">
        <w:rPr>
          <w:rFonts w:ascii="Arial" w:hAnsi="Arial" w:cs="Arial"/>
          <w:sz w:val="22"/>
          <w:szCs w:val="22"/>
        </w:rPr>
        <w:t>footprinting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[2]; the LSP </w:t>
      </w:r>
      <w:proofErr w:type="spellStart"/>
      <w:r w:rsidRPr="00CE1480">
        <w:rPr>
          <w:rFonts w:ascii="Arial" w:hAnsi="Arial" w:cs="Arial"/>
          <w:sz w:val="22"/>
          <w:szCs w:val="22"/>
        </w:rPr>
        <w:t>dRNA-seq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data showed no evidence of a TSS at this position although a potential TSS was observed 34 </w:t>
      </w:r>
      <w:proofErr w:type="spellStart"/>
      <w:r w:rsidRPr="00CE1480">
        <w:rPr>
          <w:rFonts w:ascii="Arial" w:hAnsi="Arial" w:cs="Arial"/>
          <w:sz w:val="22"/>
          <w:szCs w:val="22"/>
        </w:rPr>
        <w:t>nt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downstream of the </w:t>
      </w:r>
      <w:proofErr w:type="spellStart"/>
      <w:r w:rsidRPr="00CE1480">
        <w:rPr>
          <w:rFonts w:ascii="Arial" w:hAnsi="Arial" w:cs="Arial"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binding site identified in [5].</w:t>
      </w:r>
    </w:p>
    <w:p w:rsidR="006001C7" w:rsidRPr="00CE1480" w:rsidRDefault="006001C7" w:rsidP="00CE1480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CE1480">
        <w:rPr>
          <w:rFonts w:ascii="Arial" w:hAnsi="Arial" w:cs="Arial"/>
          <w:sz w:val="22"/>
          <w:szCs w:val="22"/>
        </w:rPr>
        <w:t xml:space="preserve">The TSS identified in [1] for </w:t>
      </w:r>
      <w:proofErr w:type="spellStart"/>
      <w:r w:rsidRPr="00CE1480">
        <w:rPr>
          <w:rFonts w:ascii="Arial" w:hAnsi="Arial" w:cs="Arial"/>
          <w:i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was not observed in the LSP </w:t>
      </w:r>
      <w:proofErr w:type="spellStart"/>
      <w:r w:rsidRPr="00CE1480">
        <w:rPr>
          <w:rFonts w:ascii="Arial" w:hAnsi="Arial" w:cs="Arial"/>
          <w:sz w:val="22"/>
          <w:szCs w:val="22"/>
        </w:rPr>
        <w:t>dRNA-seq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data but was included here since we identified a potential consensus </w:t>
      </w:r>
      <w:proofErr w:type="spellStart"/>
      <w:r w:rsidRPr="00CE1480">
        <w:rPr>
          <w:rFonts w:ascii="Arial" w:hAnsi="Arial" w:cs="Arial"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binding site 38 nucleotides upstream of it. The </w:t>
      </w:r>
      <w:proofErr w:type="spellStart"/>
      <w:r w:rsidRPr="00CE1480">
        <w:rPr>
          <w:rFonts w:ascii="Arial" w:hAnsi="Arial" w:cs="Arial"/>
          <w:sz w:val="22"/>
          <w:szCs w:val="22"/>
        </w:rPr>
        <w:t>SsrB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binding site determined by </w:t>
      </w:r>
      <w:proofErr w:type="spellStart"/>
      <w:r w:rsidRPr="00CE1480">
        <w:rPr>
          <w:rFonts w:ascii="Arial" w:hAnsi="Arial" w:cs="Arial"/>
          <w:sz w:val="22"/>
          <w:szCs w:val="22"/>
        </w:rPr>
        <w:t>DNase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E1480">
        <w:rPr>
          <w:rFonts w:ascii="Arial" w:hAnsi="Arial" w:cs="Arial"/>
          <w:sz w:val="22"/>
          <w:szCs w:val="22"/>
        </w:rPr>
        <w:t>footprinting</w:t>
      </w:r>
      <w:proofErr w:type="spellEnd"/>
      <w:r w:rsidRPr="00CE1480">
        <w:rPr>
          <w:rFonts w:ascii="Arial" w:hAnsi="Arial" w:cs="Arial"/>
          <w:sz w:val="22"/>
          <w:szCs w:val="22"/>
        </w:rPr>
        <w:t xml:space="preserve"> in [1] is shown in blue font.</w:t>
      </w:r>
    </w:p>
    <w:p w:rsidR="006001C7" w:rsidRPr="00CE1480" w:rsidRDefault="006001C7" w:rsidP="00C92A6E">
      <w:pPr>
        <w:spacing w:line="360" w:lineRule="auto"/>
        <w:rPr>
          <w:b/>
        </w:rPr>
      </w:pPr>
      <w:r w:rsidRPr="00CE1480">
        <w:rPr>
          <w:b/>
        </w:rPr>
        <w:t>References</w:t>
      </w:r>
    </w:p>
    <w:p w:rsidR="006001C7" w:rsidRPr="00CE1480" w:rsidRDefault="006001C7" w:rsidP="00C92A6E">
      <w:pPr>
        <w:spacing w:after="0" w:line="360" w:lineRule="auto"/>
        <w:ind w:left="720" w:hanging="720"/>
      </w:pPr>
      <w:r w:rsidRPr="00CE1480">
        <w:t>1.</w:t>
      </w:r>
      <w:r w:rsidRPr="00CE1480">
        <w:tab/>
      </w:r>
      <w:r w:rsidRPr="00CE1480">
        <w:rPr>
          <w:b/>
        </w:rPr>
        <w:t>Feng, X., R. Oropeza, and L. J. Kenney.</w:t>
      </w:r>
      <w:r w:rsidRPr="00CE1480">
        <w:t xml:space="preserve"> 2003. Dual regulation by phospho-OmpR of ssrA/B gene expression in </w:t>
      </w:r>
      <w:r w:rsidRPr="00CE1480">
        <w:rPr>
          <w:i/>
        </w:rPr>
        <w:t>Salmonella</w:t>
      </w:r>
      <w:r w:rsidRPr="00CE1480">
        <w:t xml:space="preserve"> pathogenicity island 2. Molecular microbiology </w:t>
      </w:r>
      <w:r w:rsidRPr="00CE1480">
        <w:rPr>
          <w:b/>
        </w:rPr>
        <w:t>48:</w:t>
      </w:r>
      <w:r w:rsidRPr="00CE1480">
        <w:t>1131-1143.</w:t>
      </w:r>
    </w:p>
    <w:p w:rsidR="006001C7" w:rsidRPr="00CE1480" w:rsidRDefault="006001C7" w:rsidP="00C92A6E">
      <w:pPr>
        <w:spacing w:after="0" w:line="360" w:lineRule="auto"/>
        <w:ind w:left="720" w:hanging="720"/>
      </w:pPr>
      <w:r w:rsidRPr="00CE1480">
        <w:t>2.</w:t>
      </w:r>
      <w:r w:rsidRPr="00CE1480">
        <w:tab/>
      </w:r>
      <w:r w:rsidRPr="00CE1480">
        <w:rPr>
          <w:b/>
        </w:rPr>
        <w:t>Feng, X., D. Walthers, R. Oropeza, and L. J. Kenney.</w:t>
      </w:r>
      <w:r w:rsidRPr="00CE1480">
        <w:t xml:space="preserve"> 2004. The response regulator SsrB activates transcription and binds to a region overlapping OmpR binding sites at </w:t>
      </w:r>
      <w:r w:rsidRPr="00CE1480">
        <w:rPr>
          <w:i/>
        </w:rPr>
        <w:t>Salmonella</w:t>
      </w:r>
      <w:r w:rsidRPr="00CE1480">
        <w:t xml:space="preserve"> </w:t>
      </w:r>
      <w:proofErr w:type="gramStart"/>
      <w:r w:rsidRPr="00CE1480">
        <w:t>pathogenicity island</w:t>
      </w:r>
      <w:proofErr w:type="gramEnd"/>
      <w:r w:rsidRPr="00CE1480">
        <w:t xml:space="preserve"> 2. Molecular microbiology </w:t>
      </w:r>
      <w:r w:rsidRPr="00CE1480">
        <w:rPr>
          <w:b/>
        </w:rPr>
        <w:t>54:</w:t>
      </w:r>
      <w:r w:rsidRPr="00CE1480">
        <w:t>823-835.</w:t>
      </w:r>
    </w:p>
    <w:p w:rsidR="006001C7" w:rsidRPr="00CE1480" w:rsidRDefault="006001C7" w:rsidP="00C92A6E">
      <w:pPr>
        <w:spacing w:after="0" w:line="360" w:lineRule="auto"/>
        <w:ind w:left="720" w:hanging="720"/>
      </w:pPr>
      <w:r w:rsidRPr="00CE1480">
        <w:lastRenderedPageBreak/>
        <w:t>3.</w:t>
      </w:r>
      <w:r w:rsidRPr="00CE1480">
        <w:tab/>
      </w:r>
      <w:r w:rsidRPr="00CE1480">
        <w:rPr>
          <w:b/>
        </w:rPr>
        <w:t>Gal-Mor, O., D. Elhadad, W. Deng, G. Rahav, and B. B. Finlay.</w:t>
      </w:r>
      <w:r w:rsidRPr="00CE1480">
        <w:t xml:space="preserve"> 2011. The Salmonella enterica PhoP directly activates the horizontally acquired SPI-2 gene sseL and is functionally different from a </w:t>
      </w:r>
      <w:r w:rsidRPr="00CE1480">
        <w:rPr>
          <w:i/>
        </w:rPr>
        <w:t>S. bongori</w:t>
      </w:r>
      <w:r w:rsidRPr="00CE1480">
        <w:t xml:space="preserve"> ortholog. PloS one </w:t>
      </w:r>
      <w:r w:rsidRPr="00CE1480">
        <w:rPr>
          <w:b/>
        </w:rPr>
        <w:t>6:</w:t>
      </w:r>
      <w:r w:rsidRPr="00CE1480">
        <w:t>e20024.</w:t>
      </w:r>
    </w:p>
    <w:p w:rsidR="006001C7" w:rsidRPr="00CE1480" w:rsidRDefault="006001C7" w:rsidP="00C92A6E">
      <w:pPr>
        <w:spacing w:after="0" w:line="360" w:lineRule="auto"/>
        <w:ind w:left="720" w:hanging="720"/>
      </w:pPr>
      <w:r w:rsidRPr="00CE1480">
        <w:t>4.</w:t>
      </w:r>
      <w:r w:rsidRPr="00CE1480">
        <w:tab/>
      </w:r>
      <w:r w:rsidRPr="00CE1480">
        <w:rPr>
          <w:b/>
        </w:rPr>
        <w:t>Ramachandran, V. K., N. Shearer, J. J. Jacob, C. M. Sharma, and A. Thompson.</w:t>
      </w:r>
      <w:r w:rsidRPr="00CE1480">
        <w:t xml:space="preserve"> 2012. The architecture and ppGpp-dependent expression of the primary transcriptome of</w:t>
      </w:r>
      <w:r w:rsidRPr="00CE1480">
        <w:rPr>
          <w:i/>
        </w:rPr>
        <w:t xml:space="preserve"> Salmonella</w:t>
      </w:r>
      <w:r w:rsidRPr="00CE1480">
        <w:t xml:space="preserve"> Typhimurium during invasion gene expression. BMC genomics </w:t>
      </w:r>
      <w:r w:rsidRPr="00CE1480">
        <w:rPr>
          <w:b/>
        </w:rPr>
        <w:t>13:</w:t>
      </w:r>
      <w:r w:rsidRPr="00CE1480">
        <w:t>25.</w:t>
      </w:r>
    </w:p>
    <w:p w:rsidR="006001C7" w:rsidRPr="00CE1480" w:rsidRDefault="006001C7" w:rsidP="00C92A6E">
      <w:pPr>
        <w:spacing w:after="0" w:line="360" w:lineRule="auto"/>
        <w:ind w:left="720" w:hanging="720"/>
      </w:pPr>
      <w:r w:rsidRPr="00CE1480">
        <w:t>5.</w:t>
      </w:r>
      <w:r w:rsidRPr="00CE1480">
        <w:tab/>
      </w:r>
      <w:r w:rsidRPr="00CE1480">
        <w:rPr>
          <w:b/>
        </w:rPr>
        <w:t xml:space="preserve">Tomljenovic-Berube, A. M., D. T. Mulder, M. D. Whiteside, F. S. Brinkman, and B. K. Coombes. </w:t>
      </w:r>
      <w:r w:rsidRPr="00CE1480">
        <w:t>2010.</w:t>
      </w:r>
      <w:r w:rsidRPr="00CE1480">
        <w:rPr>
          <w:b/>
        </w:rPr>
        <w:t xml:space="preserve"> </w:t>
      </w:r>
      <w:r w:rsidRPr="00CE1480">
        <w:t xml:space="preserve"> Identification of the regulatory logic controlling</w:t>
      </w:r>
      <w:r w:rsidRPr="00CE1480">
        <w:rPr>
          <w:i/>
        </w:rPr>
        <w:t xml:space="preserve"> Salmonella</w:t>
      </w:r>
      <w:r w:rsidRPr="00CE1480">
        <w:t xml:space="preserve"> pathoadaptation by the SsrA-SsrB two-component system. PLoS genetics </w:t>
      </w:r>
      <w:r w:rsidRPr="00CE1480">
        <w:rPr>
          <w:b/>
        </w:rPr>
        <w:t>6:</w:t>
      </w:r>
      <w:r w:rsidRPr="00CE1480">
        <w:t>e1000875.</w:t>
      </w:r>
    </w:p>
    <w:p w:rsidR="006001C7" w:rsidRPr="00CE1480" w:rsidRDefault="006001C7" w:rsidP="00C92A6E">
      <w:pPr>
        <w:spacing w:after="0" w:line="360" w:lineRule="auto"/>
        <w:ind w:left="720" w:hanging="720"/>
      </w:pPr>
      <w:r w:rsidRPr="00CE1480">
        <w:t>6.</w:t>
      </w:r>
      <w:r w:rsidRPr="00CE1480">
        <w:tab/>
      </w:r>
      <w:r w:rsidRPr="00CE1480">
        <w:rPr>
          <w:b/>
        </w:rPr>
        <w:t>Walthers, D., R. K. Carroll, W. W. Navarre, S. J. Libby, F. C. Fang, and L. J. Kenney.</w:t>
      </w:r>
      <w:r w:rsidRPr="00CE1480">
        <w:t xml:space="preserve"> 2007. The response regulator SsrB activates expression of diverse </w:t>
      </w:r>
      <w:r w:rsidRPr="00CE1480">
        <w:rPr>
          <w:i/>
        </w:rPr>
        <w:t>Salmonella</w:t>
      </w:r>
      <w:r w:rsidRPr="00CE1480">
        <w:t xml:space="preserve"> pathogenicity island 2 promoters and counters silencing by the nucleoid-associated protein H-NS. Molecular microbiology </w:t>
      </w:r>
      <w:r w:rsidRPr="00CE1480">
        <w:rPr>
          <w:b/>
        </w:rPr>
        <w:t>65:</w:t>
      </w:r>
      <w:r w:rsidRPr="00CE1480">
        <w:t>477-493.</w:t>
      </w:r>
    </w:p>
    <w:sectPr w:rsidR="006001C7" w:rsidRPr="00CE1480" w:rsidSect="00A3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232"/>
    <w:multiLevelType w:val="hybridMultilevel"/>
    <w:tmpl w:val="B3A695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001C7"/>
    <w:rsid w:val="001F758F"/>
    <w:rsid w:val="006001C7"/>
    <w:rsid w:val="00C92A6E"/>
    <w:rsid w:val="00C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C7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C7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1C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C7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C7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1C7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1C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C7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thompson (IFR)</dc:creator>
  <cp:lastModifiedBy>arthur thompson (IFR)</cp:lastModifiedBy>
  <cp:revision>3</cp:revision>
  <dcterms:created xsi:type="dcterms:W3CDTF">2014-01-19T12:18:00Z</dcterms:created>
  <dcterms:modified xsi:type="dcterms:W3CDTF">2014-01-19T12:21:00Z</dcterms:modified>
</cp:coreProperties>
</file>