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8" w:rsidRDefault="00C7405B" w:rsidP="000E58D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Figure S4</w:t>
      </w:r>
    </w:p>
    <w:p w:rsidR="000213C8" w:rsidRDefault="002942B0" w:rsidP="000E58D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08pt;margin-top:252.35pt;width:.75pt;height:82.4pt;flip:x;z-index:25166848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36" type="#_x0000_t32" style="position:absolute;left:0;text-align:left;margin-left:388.5pt;margin-top:188.6pt;width:.75pt;height:146.25pt;flip:x;z-index:25166540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29" type="#_x0000_t32" style="position:absolute;left:0;text-align:left;margin-left:97.5pt;margin-top:182.4pt;width:81.75pt;height:0;flip:x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165.75pt;width:35.95pt;height:20.75pt;z-index:251660288;mso-width-relative:margin;mso-height-relative:margin" filled="f" stroked="f">
            <v:textbox>
              <w:txbxContent>
                <w:p w:rsidR="00FB0769" w:rsidRPr="006A099B" w:rsidRDefault="00FB0769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A099B">
                    <w:rPr>
                      <w:b/>
                      <w:i/>
                      <w:sz w:val="20"/>
                      <w:szCs w:val="20"/>
                    </w:rPr>
                    <w:t>gltA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512CCE" w:rsidRPr="00512CCE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4038600"/>
            <wp:effectExtent l="19050" t="0" r="254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72810" cy="5689881"/>
                      <a:chOff x="-539665" y="1403021"/>
                      <a:chExt cx="7272810" cy="5689881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-539665" y="1403021"/>
                        <a:ext cx="7272810" cy="5689881"/>
                        <a:chOff x="226194" y="1282386"/>
                        <a:chExt cx="5741088" cy="5689881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 l="16931" t="10596" r="27799" b="37834"/>
                        <a:stretch>
                          <a:fillRect/>
                        </a:stretch>
                      </a:blipFill>
                      <a:spPr bwMode="auto">
                        <a:xfrm>
                          <a:off x="1434219" y="1282386"/>
                          <a:ext cx="4425051" cy="5505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248786" y="1359506"/>
                          <a:ext cx="159210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pP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∆</a:t>
                            </a:r>
                            <a:r>
                              <a:rPr lang="en-GB" sz="1600" i="1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relA</a:t>
                            </a:r>
                            <a:r>
                              <a:rPr lang="en-GB" sz="1600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∆</a:t>
                            </a:r>
                            <a:r>
                              <a:rPr lang="en-GB" sz="1600" i="1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spoT</a:t>
                            </a:r>
                            <a:r>
                              <a:rPr lang="en-GB" sz="1600" i="1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  </a:t>
                            </a: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(NE)</a:t>
                            </a:r>
                            <a:endParaRPr lang="en-GB" sz="1600" dirty="0">
                              <a:solidFill>
                                <a:prstClr val="black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Box 3"/>
                        <a:cNvSpPr txBox="1"/>
                      </a:nvSpPr>
                      <a:spPr>
                        <a:xfrm>
                          <a:off x="253904" y="1836306"/>
                          <a:ext cx="159210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pP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∆</a:t>
                            </a:r>
                            <a:r>
                              <a:rPr lang="en-GB" sz="1600" i="1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relA</a:t>
                            </a:r>
                            <a:r>
                              <a:rPr lang="en-GB" sz="1600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∆</a:t>
                            </a:r>
                            <a:r>
                              <a:rPr lang="en-GB" sz="1600" i="1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spoT</a:t>
                            </a:r>
                            <a:r>
                              <a:rPr lang="en-GB" sz="1600" i="1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  </a:t>
                            </a: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(EN)</a:t>
                            </a:r>
                            <a:endParaRPr lang="en-GB" sz="1600" dirty="0">
                              <a:solidFill>
                                <a:prstClr val="black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236430" y="6155015"/>
                          <a:ext cx="154561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pP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∆</a:t>
                            </a:r>
                            <a:r>
                              <a:rPr lang="en-GB" sz="1600" i="1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relA</a:t>
                            </a:r>
                            <a:r>
                              <a:rPr lang="en-GB" sz="1600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∆</a:t>
                            </a:r>
                            <a:r>
                              <a:rPr lang="en-GB" sz="1600" i="1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spoT</a:t>
                            </a:r>
                            <a:r>
                              <a:rPr lang="en-GB" sz="1600" i="1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 </a:t>
                            </a: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(NE)</a:t>
                            </a:r>
                            <a:endParaRPr lang="en-GB" sz="1600" i="1" dirty="0">
                              <a:solidFill>
                                <a:prstClr val="black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26194" y="5646315"/>
                          <a:ext cx="154561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pP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∆</a:t>
                            </a:r>
                            <a:r>
                              <a:rPr lang="en-GB" sz="1600" i="1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relA</a:t>
                            </a:r>
                            <a:r>
                              <a:rPr lang="en-GB" sz="1600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∆</a:t>
                            </a:r>
                            <a:r>
                              <a:rPr lang="en-GB" sz="1600" i="1" dirty="0" err="1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spoT</a:t>
                            </a:r>
                            <a:r>
                              <a:rPr lang="en-GB" sz="1600" i="1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 </a:t>
                            </a: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(EN)</a:t>
                            </a:r>
                            <a:endParaRPr lang="en-GB" sz="1600" i="1" dirty="0">
                              <a:solidFill>
                                <a:prstClr val="black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783979" y="2355606"/>
                          <a:ext cx="87235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pP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WT (NE)</a:t>
                            </a:r>
                            <a:endParaRPr lang="en-GB" sz="1600" i="1" dirty="0">
                              <a:solidFill>
                                <a:prstClr val="black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783979" y="2853857"/>
                          <a:ext cx="87235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pP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WT (EN)</a:t>
                            </a:r>
                            <a:endParaRPr lang="en-GB" sz="1600" i="1" dirty="0">
                              <a:solidFill>
                                <a:prstClr val="black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722506" y="4668011"/>
                          <a:ext cx="87235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pP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WT (EN)</a:t>
                            </a:r>
                            <a:endParaRPr lang="en-GB" sz="1600" i="1" dirty="0">
                              <a:solidFill>
                                <a:prstClr val="black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732742" y="5148065"/>
                          <a:ext cx="87235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pPr>
                            <a:r>
                              <a:rPr lang="en-GB" sz="1600" dirty="0" smtClean="0">
                                <a:solidFill>
                                  <a:prstClr val="black"/>
                                </a:solidFill>
                                <a:latin typeface="Calibri"/>
                              </a:rPr>
                              <a:t>WT (NE)</a:t>
                            </a:r>
                            <a:endParaRPr lang="en-GB" sz="1600" i="1" dirty="0">
                              <a:solidFill>
                                <a:prstClr val="black"/>
                              </a:solidFill>
                              <a:latin typeface="Calibri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Rectangle 10"/>
                        <a:cNvSpPr/>
                      </a:nvSpPr>
                      <a:spPr>
                        <a:xfrm>
                          <a:off x="242646" y="1307638"/>
                          <a:ext cx="5724636" cy="56646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A099B" w:rsidRDefault="002942B0" w:rsidP="000E58D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>
          <v:shape id="_x0000_s1037" type="#_x0000_t202" style="position:absolute;left:0;text-align:left;margin-left:345.35pt;margin-top:2.15pt;width:63.05pt;height:47.3pt;z-index:251667456;mso-width-relative:margin;mso-height-relative:margin" filled="f" stroked="f">
            <v:textbox>
              <w:txbxContent>
                <w:p w:rsidR="006A099B" w:rsidRDefault="006A099B" w:rsidP="006A099B">
                  <w:pPr>
                    <w:spacing w:after="0" w:line="240" w:lineRule="auto"/>
                  </w:pPr>
                  <w:r>
                    <w:t>797002</w:t>
                  </w:r>
                </w:p>
                <w:p w:rsidR="006A099B" w:rsidRDefault="00AA5943" w:rsidP="006A099B">
                  <w:pPr>
                    <w:spacing w:after="0" w:line="240" w:lineRule="auto"/>
                  </w:pPr>
                  <w:r>
                    <w:t>(SL1344</w:t>
                  </w:r>
                </w:p>
                <w:p w:rsidR="00AA5943" w:rsidRDefault="00AA5943" w:rsidP="006A099B">
                  <w:pPr>
                    <w:spacing w:after="0" w:line="240" w:lineRule="auto"/>
                  </w:pPr>
                  <w:proofErr w:type="gramStart"/>
                  <w:r>
                    <w:t>parent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39" type="#_x0000_t202" style="position:absolute;left:0;text-align:left;margin-left:397.55pt;margin-top:2.15pt;width:70.45pt;height:47.3pt;z-index:251669504;mso-width-relative:margin;mso-height-relative:margin" filled="f" stroked="f">
            <v:textbox>
              <w:txbxContent>
                <w:p w:rsidR="006A099B" w:rsidRDefault="006A099B" w:rsidP="006A099B">
                  <w:pPr>
                    <w:spacing w:after="0" w:line="240" w:lineRule="auto"/>
                  </w:pPr>
                  <w:r>
                    <w:t>797031</w:t>
                  </w:r>
                </w:p>
                <w:p w:rsidR="006A099B" w:rsidRDefault="006A099B" w:rsidP="006A099B">
                  <w:pPr>
                    <w:spacing w:after="0" w:line="240" w:lineRule="auto"/>
                  </w:pPr>
                  <w:r>
                    <w:t>(ppGpp</w:t>
                  </w:r>
                  <w:r w:rsidRPr="006A099B">
                    <w:rPr>
                      <w:vertAlign w:val="superscript"/>
                    </w:rPr>
                    <w:t>0</w:t>
                  </w:r>
                  <w:r>
                    <w:t>)</w:t>
                  </w:r>
                </w:p>
              </w:txbxContent>
            </v:textbox>
          </v:shape>
        </w:pict>
      </w:r>
    </w:p>
    <w:p w:rsidR="000213C8" w:rsidRDefault="000213C8" w:rsidP="000E58D5">
      <w:pPr>
        <w:jc w:val="both"/>
        <w:rPr>
          <w:b/>
          <w:sz w:val="28"/>
          <w:szCs w:val="28"/>
        </w:rPr>
      </w:pPr>
    </w:p>
    <w:p w:rsidR="00572D37" w:rsidRPr="00572D37" w:rsidRDefault="00065B98" w:rsidP="00A552A1">
      <w:pPr>
        <w:spacing w:line="360" w:lineRule="auto"/>
        <w:jc w:val="both"/>
        <w:rPr>
          <w:b/>
          <w:szCs w:val="28"/>
        </w:rPr>
      </w:pPr>
      <w:proofErr w:type="spellStart"/>
      <w:proofErr w:type="gramStart"/>
      <w:r>
        <w:rPr>
          <w:b/>
        </w:rPr>
        <w:t>ppGpp</w:t>
      </w:r>
      <w:proofErr w:type="spellEnd"/>
      <w:r>
        <w:rPr>
          <w:b/>
        </w:rPr>
        <w:t>-dependent</w:t>
      </w:r>
      <w:proofErr w:type="gramEnd"/>
      <w:r>
        <w:rPr>
          <w:b/>
        </w:rPr>
        <w:t xml:space="preserve"> location of</w:t>
      </w:r>
      <w:r w:rsidR="00512CCE">
        <w:rPr>
          <w:b/>
        </w:rPr>
        <w:t xml:space="preserve"> </w:t>
      </w:r>
      <w:proofErr w:type="spellStart"/>
      <w:r w:rsidR="00512CCE" w:rsidRPr="00065B98">
        <w:rPr>
          <w:b/>
          <w:i/>
        </w:rPr>
        <w:t>gltA</w:t>
      </w:r>
      <w:proofErr w:type="spellEnd"/>
      <w:r w:rsidR="00512CCE">
        <w:rPr>
          <w:b/>
        </w:rPr>
        <w:t xml:space="preserve"> transcriptional start site</w:t>
      </w:r>
      <w:r>
        <w:rPr>
          <w:b/>
        </w:rPr>
        <w:t>s</w:t>
      </w:r>
      <w:r w:rsidR="00512CCE">
        <w:rPr>
          <w:b/>
        </w:rPr>
        <w:t xml:space="preserve">. </w:t>
      </w:r>
      <w:r w:rsidR="00AA5943">
        <w:t>The parental</w:t>
      </w:r>
      <w:r w:rsidR="00512CCE">
        <w:t xml:space="preserve"> and ppGpp</w:t>
      </w:r>
      <w:r w:rsidR="00512CCE" w:rsidRPr="00512CCE">
        <w:rPr>
          <w:vertAlign w:val="superscript"/>
        </w:rPr>
        <w:t>0</w:t>
      </w:r>
      <w:r w:rsidR="00512CCE">
        <w:t xml:space="preserve"> TSSs are located at genomic coordinates </w:t>
      </w:r>
      <w:r w:rsidRPr="00065B98">
        <w:t>797002</w:t>
      </w:r>
      <w:r>
        <w:t xml:space="preserve"> </w:t>
      </w:r>
      <w:r w:rsidR="00512CCE">
        <w:t xml:space="preserve">and </w:t>
      </w:r>
      <w:r w:rsidRPr="00065B98">
        <w:t>797031</w:t>
      </w:r>
      <w:r>
        <w:t xml:space="preserve"> </w:t>
      </w:r>
      <w:r w:rsidR="00512CCE">
        <w:t>respectively.</w:t>
      </w:r>
      <w:r>
        <w:t xml:space="preserve"> The TSS in the </w:t>
      </w:r>
      <w:r w:rsidR="00AA5943">
        <w:t>SL1344 parental</w:t>
      </w:r>
      <w:r>
        <w:t xml:space="preserve"> strain matches to within 3 </w:t>
      </w:r>
      <w:proofErr w:type="spellStart"/>
      <w:proofErr w:type="gramStart"/>
      <w:r>
        <w:t>nt</w:t>
      </w:r>
      <w:proofErr w:type="spellEnd"/>
      <w:proofErr w:type="gramEnd"/>
      <w:r>
        <w:t xml:space="preserve"> the S</w:t>
      </w:r>
      <w:r w:rsidRPr="00065B98">
        <w:rPr>
          <w:vertAlign w:val="subscript"/>
        </w:rPr>
        <w:t>1</w:t>
      </w:r>
      <w:r>
        <w:t xml:space="preserve"> TSS defined for </w:t>
      </w:r>
      <w:proofErr w:type="spellStart"/>
      <w:r w:rsidRPr="00065B98">
        <w:rPr>
          <w:i/>
        </w:rPr>
        <w:t>gltA</w:t>
      </w:r>
      <w:proofErr w:type="spellEnd"/>
      <w:r>
        <w:t xml:space="preserve"> by Wilde and Guest in </w:t>
      </w:r>
      <w:r w:rsidRPr="00065B98">
        <w:rPr>
          <w:i/>
        </w:rPr>
        <w:t>E. coli</w:t>
      </w:r>
      <w:r>
        <w:t xml:space="preserve"> (</w:t>
      </w:r>
      <w:r w:rsidRPr="00065B98">
        <w:rPr>
          <w:i/>
        </w:rPr>
        <w:t xml:space="preserve">J. Gen. </w:t>
      </w:r>
      <w:proofErr w:type="spellStart"/>
      <w:r w:rsidRPr="00065B98">
        <w:rPr>
          <w:i/>
        </w:rPr>
        <w:t>Microbiol</w:t>
      </w:r>
      <w:proofErr w:type="spellEnd"/>
      <w:r>
        <w:t xml:space="preserve">., (1986), </w:t>
      </w:r>
      <w:r w:rsidRPr="00065B98">
        <w:rPr>
          <w:b/>
        </w:rPr>
        <w:t>132</w:t>
      </w:r>
      <w:r>
        <w:t>: 3239).</w:t>
      </w:r>
    </w:p>
    <w:sectPr w:rsidR="00572D37" w:rsidRPr="00572D37" w:rsidSect="00640E2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MC Genomic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sm paper 1 Copy.enl&lt;/item&gt;&lt;/Libraries&gt;&lt;/ENLibraries&gt;"/>
  </w:docVars>
  <w:rsids>
    <w:rsidRoot w:val="00640E28"/>
    <w:rsid w:val="000213C8"/>
    <w:rsid w:val="00065B98"/>
    <w:rsid w:val="000E58D5"/>
    <w:rsid w:val="000F029C"/>
    <w:rsid w:val="0011025C"/>
    <w:rsid w:val="001A39B9"/>
    <w:rsid w:val="00210A74"/>
    <w:rsid w:val="0024540E"/>
    <w:rsid w:val="002942B0"/>
    <w:rsid w:val="002E5C0C"/>
    <w:rsid w:val="0033740C"/>
    <w:rsid w:val="00357DD6"/>
    <w:rsid w:val="00457CDC"/>
    <w:rsid w:val="00471240"/>
    <w:rsid w:val="004A7A88"/>
    <w:rsid w:val="004B0F77"/>
    <w:rsid w:val="00504286"/>
    <w:rsid w:val="00511462"/>
    <w:rsid w:val="00512CCE"/>
    <w:rsid w:val="00567361"/>
    <w:rsid w:val="00572D37"/>
    <w:rsid w:val="005D200F"/>
    <w:rsid w:val="00640E28"/>
    <w:rsid w:val="006A099B"/>
    <w:rsid w:val="006D63D3"/>
    <w:rsid w:val="006E243D"/>
    <w:rsid w:val="007E3683"/>
    <w:rsid w:val="007F68F0"/>
    <w:rsid w:val="008C5D4D"/>
    <w:rsid w:val="008E56DA"/>
    <w:rsid w:val="00967C7C"/>
    <w:rsid w:val="00A552A1"/>
    <w:rsid w:val="00A57B32"/>
    <w:rsid w:val="00A81888"/>
    <w:rsid w:val="00AA5943"/>
    <w:rsid w:val="00C55A9B"/>
    <w:rsid w:val="00C7405B"/>
    <w:rsid w:val="00C77F3D"/>
    <w:rsid w:val="00CC1AA1"/>
    <w:rsid w:val="00CE6D06"/>
    <w:rsid w:val="00D6353F"/>
    <w:rsid w:val="00E1138C"/>
    <w:rsid w:val="00E43E03"/>
    <w:rsid w:val="00E8333E"/>
    <w:rsid w:val="00ED67AC"/>
    <w:rsid w:val="00FB0769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  <o:rules v:ext="edit">
        <o:r id="V:Rule4" type="connector" idref="#_x0000_s1029"/>
        <o:r id="V:Rule5" type="connector" idref="#_x0000_s1038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Operations Centre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thompsoa</dc:creator>
  <cp:lastModifiedBy>arthur thompson (IFR)</cp:lastModifiedBy>
  <cp:revision>2</cp:revision>
  <dcterms:created xsi:type="dcterms:W3CDTF">2014-01-17T10:40:00Z</dcterms:created>
  <dcterms:modified xsi:type="dcterms:W3CDTF">2014-01-17T10:40:00Z</dcterms:modified>
</cp:coreProperties>
</file>