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BE8" w:rsidRPr="001E563D" w:rsidRDefault="005F0BE8" w:rsidP="005F0BE8">
      <w:pPr>
        <w:spacing w:line="240" w:lineRule="auto"/>
        <w:rPr>
          <w:sz w:val="24"/>
          <w:szCs w:val="24"/>
        </w:rPr>
      </w:pPr>
      <w:r>
        <w:rPr>
          <w:sz w:val="24"/>
          <w:szCs w:val="24"/>
        </w:rPr>
        <w:t xml:space="preserve">“Characterisation of genetic variation in </w:t>
      </w:r>
      <w:r w:rsidRPr="004C0283">
        <w:rPr>
          <w:i/>
          <w:sz w:val="24"/>
          <w:szCs w:val="24"/>
        </w:rPr>
        <w:t>ST8SIA2</w:t>
      </w:r>
      <w:r>
        <w:rPr>
          <w:sz w:val="24"/>
          <w:szCs w:val="24"/>
        </w:rPr>
        <w:t xml:space="preserve"> and its interaction region in NCAM1 in patients with bipolar disorder”</w:t>
      </w:r>
    </w:p>
    <w:p w:rsidR="005F0BE8" w:rsidRPr="00075671" w:rsidRDefault="005F0BE8" w:rsidP="005F0BE8">
      <w:pPr>
        <w:spacing w:after="0" w:line="240" w:lineRule="auto"/>
        <w:rPr>
          <w:b/>
          <w:sz w:val="24"/>
          <w:szCs w:val="24"/>
          <w:vertAlign w:val="superscript"/>
        </w:rPr>
      </w:pPr>
      <w:r w:rsidRPr="00381983">
        <w:rPr>
          <w:b/>
          <w:sz w:val="24"/>
          <w:szCs w:val="24"/>
        </w:rPr>
        <w:t>AD Shaw, Y</w:t>
      </w:r>
      <w:r>
        <w:rPr>
          <w:b/>
          <w:sz w:val="24"/>
          <w:szCs w:val="24"/>
        </w:rPr>
        <w:t xml:space="preserve"> </w:t>
      </w:r>
      <w:proofErr w:type="spellStart"/>
      <w:r w:rsidRPr="00381983">
        <w:rPr>
          <w:b/>
          <w:sz w:val="24"/>
          <w:szCs w:val="24"/>
        </w:rPr>
        <w:t>Tiwari</w:t>
      </w:r>
      <w:proofErr w:type="spellEnd"/>
      <w:r w:rsidRPr="00381983">
        <w:rPr>
          <w:b/>
          <w:sz w:val="24"/>
          <w:szCs w:val="24"/>
        </w:rPr>
        <w:t xml:space="preserve">, W Kaplan, </w:t>
      </w:r>
      <w:proofErr w:type="gramStart"/>
      <w:r w:rsidRPr="00381983">
        <w:rPr>
          <w:b/>
          <w:sz w:val="24"/>
          <w:szCs w:val="24"/>
        </w:rPr>
        <w:t>A</w:t>
      </w:r>
      <w:proofErr w:type="gramEnd"/>
      <w:r>
        <w:rPr>
          <w:b/>
          <w:sz w:val="24"/>
          <w:szCs w:val="24"/>
        </w:rPr>
        <w:t xml:space="preserve"> </w:t>
      </w:r>
      <w:r w:rsidRPr="00381983">
        <w:rPr>
          <w:b/>
          <w:sz w:val="24"/>
          <w:szCs w:val="24"/>
        </w:rPr>
        <w:t xml:space="preserve">Heath, </w:t>
      </w:r>
      <w:r w:rsidRPr="00D422C2">
        <w:rPr>
          <w:b/>
          <w:sz w:val="24"/>
          <w:szCs w:val="24"/>
        </w:rPr>
        <w:t xml:space="preserve">PB Mitchell, </w:t>
      </w:r>
      <w:r w:rsidRPr="00381983">
        <w:rPr>
          <w:b/>
          <w:sz w:val="24"/>
          <w:szCs w:val="24"/>
        </w:rPr>
        <w:t>PR</w:t>
      </w:r>
      <w:r w:rsidRPr="001E563D">
        <w:rPr>
          <w:b/>
          <w:sz w:val="24"/>
          <w:szCs w:val="24"/>
        </w:rPr>
        <w:t xml:space="preserve"> Schofield, JM Fullerton</w:t>
      </w:r>
    </w:p>
    <w:p w:rsidR="005F0BE8" w:rsidRDefault="005F0BE8" w:rsidP="005F0BE8">
      <w:pPr>
        <w:pStyle w:val="Heading2"/>
        <w:rPr>
          <w:i w:val="0"/>
        </w:rPr>
      </w:pPr>
    </w:p>
    <w:p w:rsidR="000477CB" w:rsidRPr="00E27C83" w:rsidRDefault="000477CB" w:rsidP="000477CB">
      <w:pPr>
        <w:pStyle w:val="Heading2"/>
        <w:rPr>
          <w:i w:val="0"/>
        </w:rPr>
      </w:pPr>
      <w:r>
        <w:rPr>
          <w:i w:val="0"/>
        </w:rPr>
        <w:t xml:space="preserve">Supplementary Note 2: </w:t>
      </w:r>
      <w:r w:rsidRPr="00E27C83">
        <w:rPr>
          <w:i w:val="0"/>
        </w:rPr>
        <w:t>Removal of data in regions of PCR allelic-bias</w:t>
      </w:r>
    </w:p>
    <w:p w:rsidR="000477CB" w:rsidRPr="00E27C83" w:rsidRDefault="000477CB" w:rsidP="000477CB">
      <w:pPr>
        <w:rPr>
          <w:sz w:val="24"/>
          <w:szCs w:val="24"/>
        </w:rPr>
      </w:pPr>
      <w:r w:rsidRPr="00E27C83">
        <w:rPr>
          <w:sz w:val="24"/>
          <w:szCs w:val="24"/>
        </w:rPr>
        <w:t xml:space="preserve">We examined a known source of inaccuracy within genotype calling from </w:t>
      </w:r>
      <w:proofErr w:type="spellStart"/>
      <w:r w:rsidRPr="00E27C83">
        <w:rPr>
          <w:sz w:val="24"/>
          <w:szCs w:val="24"/>
        </w:rPr>
        <w:t>amplicon</w:t>
      </w:r>
      <w:proofErr w:type="spellEnd"/>
      <w:r w:rsidRPr="00E27C83">
        <w:rPr>
          <w:sz w:val="24"/>
          <w:szCs w:val="24"/>
        </w:rPr>
        <w:t xml:space="preserve">-based methodologies. Allelic bias, in which the product produced from one chromosome of a pair is more efficiently amplified by PCR despite equal amounts of input DNA from both chromosomes, can lead to false homozygous genotype calls for SNPs within the </w:t>
      </w:r>
      <w:proofErr w:type="spellStart"/>
      <w:r w:rsidRPr="00E27C83">
        <w:rPr>
          <w:sz w:val="24"/>
          <w:szCs w:val="24"/>
        </w:rPr>
        <w:t>amplicon</w:t>
      </w:r>
      <w:proofErr w:type="spellEnd"/>
      <w:r w:rsidRPr="00E27C83">
        <w:rPr>
          <w:sz w:val="24"/>
          <w:szCs w:val="24"/>
        </w:rPr>
        <w:t>.</w:t>
      </w:r>
    </w:p>
    <w:p w:rsidR="000477CB" w:rsidRDefault="000477CB" w:rsidP="000477CB">
      <w:pPr>
        <w:rPr>
          <w:sz w:val="24"/>
          <w:szCs w:val="24"/>
        </w:rPr>
      </w:pPr>
      <w:r w:rsidRPr="00E27C83">
        <w:rPr>
          <w:sz w:val="24"/>
          <w:szCs w:val="24"/>
        </w:rPr>
        <w:t xml:space="preserve">The allelic bias is often caused by heterozygous variation within primer binding sites. Although our primers were designed to avoid known human variants, many additional variants have been reported since the design stage, with the release of 1000 genomes data </w:t>
      </w:r>
      <w:r w:rsidR="00934EFF" w:rsidRPr="00E27C83">
        <w:rPr>
          <w:sz w:val="24"/>
          <w:szCs w:val="24"/>
        </w:rPr>
        <w:fldChar w:fldCharType="begin" w:fldLock="1"/>
      </w:r>
      <w:r w:rsidR="0097459C">
        <w:rPr>
          <w:sz w:val="24"/>
          <w:szCs w:val="24"/>
        </w:rPr>
        <w:instrText>ADDIN CSL_CITATION { "citationItems" : [ { "id" : "ITEM-1", "itemData" : { "DOI" : "10.1038/nature09534", "ISSN" : "1476-4687", "PMID" : "20981092", "abstract" : "The 1000 Genomes Project aims to provide a deep characterization of human genome sequence variation as a foundation for investigating the relationship between genotype and phenotype. Here we present results of the pilot phase of the project, designed to develop and compare different strategies for genome-wide sequencing with high-throughput platforms. We undertook three projects: low-coverage whole-genome sequencing of 179 individuals from four populations; high-coverage sequencing of two mother-father-child trios; and exon-targeted sequencing of 697 individuals from seven populations. We describe the location, allele frequency and local haplotype structure of approximately 15 million single nucleotide polymorphisms, 1 million short insertions and deletions, and 20,000 structural variants, most of which were previously undescribed. We show that, because we have catalogued the vast majority of common variation, over 95% of the currently accessible variants found in any individual are present in this data set. On average, each person is found to carry approximately 250 to 300 loss-of-function variants in annotated genes and 50 to 100 variants previously implicated in inherited disorders. We demonstrate how these results can be used to inform association and functional studies. From the two trios, we directly estimate the rate of de novo germline base substitution mutations to be approximately 10(-8) per base pair per generation. We explore the data with regard to signatures of natural selection, and identify a marked reduction of genetic variation in the neighbourhood of genes, due to selection at linked sites. These methods and public data will support the next phase of human genetic research.", "author" : [ { "dropping-particle" : "", "family" : "The 1000 Genomes Project Consortium.", "given" : "", "non-dropping-particle" : "", "parse-names" : false, "suffix" : "" } ], "container-title" : "Nature", "id" : "ITEM-1", "issue" : "7319", "issued" : { "date-parts" : [ [ "2010", "10", "28" ] ] }, "page" : "1061-73", "title" : "A map of human genome variation from population-scale sequencing", "type" : "article-journal", "volume" : "467" }, "uris" : [ "http://www.mendeley.com/documents/?uuid=2dcaa250-9442-4ef6-906a-5754e496b4ca" ] } ], "mendeley" : { "previouslyFormattedCitation" : "[1]" }, "properties" : { "noteIndex" : 0 }, "schema" : "https://github.com/citation-style-language/schema/raw/master/csl-citation.json" }</w:instrText>
      </w:r>
      <w:r w:rsidR="00934EFF" w:rsidRPr="00E27C83">
        <w:rPr>
          <w:sz w:val="24"/>
          <w:szCs w:val="24"/>
        </w:rPr>
        <w:fldChar w:fldCharType="separate"/>
      </w:r>
      <w:r w:rsidR="0097459C" w:rsidRPr="0097459C">
        <w:rPr>
          <w:noProof/>
          <w:sz w:val="24"/>
          <w:szCs w:val="24"/>
        </w:rPr>
        <w:t>[1]</w:t>
      </w:r>
      <w:r w:rsidR="00934EFF" w:rsidRPr="00E27C83">
        <w:rPr>
          <w:sz w:val="24"/>
          <w:szCs w:val="24"/>
        </w:rPr>
        <w:fldChar w:fldCharType="end"/>
      </w:r>
      <w:r w:rsidRPr="00E27C83">
        <w:rPr>
          <w:sz w:val="24"/>
          <w:szCs w:val="24"/>
        </w:rPr>
        <w:t xml:space="preserve">. We found variation in the forward primer-binding site of three long-range </w:t>
      </w:r>
      <w:proofErr w:type="spellStart"/>
      <w:r w:rsidRPr="00E27C83">
        <w:rPr>
          <w:sz w:val="24"/>
          <w:szCs w:val="24"/>
        </w:rPr>
        <w:t>amplicons</w:t>
      </w:r>
      <w:proofErr w:type="spellEnd"/>
      <w:r w:rsidRPr="00E27C83">
        <w:rPr>
          <w:sz w:val="24"/>
          <w:szCs w:val="24"/>
        </w:rPr>
        <w:t xml:space="preserve"> (ST8-3, ST8-4 and ST8</w:t>
      </w:r>
      <w:r w:rsidRPr="00E27C83">
        <w:rPr>
          <w:sz w:val="24"/>
          <w:szCs w:val="24"/>
        </w:rPr>
        <w:noBreakHyphen/>
        <w:t xml:space="preserve">6), which affected a total of 12 individuals (4, 1 and 6 individuals per </w:t>
      </w:r>
      <w:proofErr w:type="spellStart"/>
      <w:r w:rsidRPr="00E27C83">
        <w:rPr>
          <w:sz w:val="24"/>
          <w:szCs w:val="24"/>
        </w:rPr>
        <w:t>amplicon</w:t>
      </w:r>
      <w:proofErr w:type="spellEnd"/>
      <w:r w:rsidRPr="00E27C83">
        <w:rPr>
          <w:sz w:val="24"/>
          <w:szCs w:val="24"/>
        </w:rPr>
        <w:t xml:space="preserve">, respectively). By examining the balance between reads supporting either reference or variant alleles at well-covered sites, and examining genotype concordance at poorly-covered sites, we identified evidence of allele bias due to primer binding site variants (data not shown). We ran our </w:t>
      </w:r>
      <w:r>
        <w:rPr>
          <w:sz w:val="24"/>
          <w:szCs w:val="24"/>
        </w:rPr>
        <w:t xml:space="preserve">haplotype phasing </w:t>
      </w:r>
      <w:r w:rsidRPr="00E27C83">
        <w:rPr>
          <w:sz w:val="24"/>
          <w:szCs w:val="24"/>
        </w:rPr>
        <w:t>analysis after removal of sequencing data derived from individuals with heterozygous variation in primer binding sites (Figure 4).</w:t>
      </w:r>
    </w:p>
    <w:p w:rsidR="006C6B2C" w:rsidRDefault="006C6B2C">
      <w:pPr>
        <w:pStyle w:val="NormalWeb"/>
        <w:ind w:left="640" w:hanging="640"/>
        <w:divId w:val="1165170991"/>
        <w:rPr>
          <w:b/>
        </w:rPr>
      </w:pPr>
    </w:p>
    <w:p w:rsidR="006C6B2C" w:rsidRPr="006C6B2C" w:rsidRDefault="006C6B2C">
      <w:pPr>
        <w:pStyle w:val="NormalWeb"/>
        <w:ind w:left="640" w:hanging="640"/>
        <w:divId w:val="1165170991"/>
        <w:rPr>
          <w:b/>
        </w:rPr>
      </w:pPr>
      <w:r w:rsidRPr="006C6B2C">
        <w:rPr>
          <w:b/>
        </w:rPr>
        <w:t>References</w:t>
      </w:r>
    </w:p>
    <w:p w:rsidR="0097459C" w:rsidRPr="0097459C" w:rsidRDefault="00934EFF">
      <w:pPr>
        <w:pStyle w:val="NormalWeb"/>
        <w:ind w:left="640" w:hanging="640"/>
        <w:divId w:val="1165170991"/>
        <w:rPr>
          <w:rFonts w:ascii="Calibri" w:hAnsi="Calibri"/>
          <w:noProof/>
        </w:rPr>
      </w:pPr>
      <w:r w:rsidRPr="00934EFF">
        <w:fldChar w:fldCharType="begin" w:fldLock="1"/>
      </w:r>
      <w:r w:rsidR="0097459C">
        <w:instrText xml:space="preserve">ADDIN Mendeley Bibliography CSL_BIBLIOGRAPHY </w:instrText>
      </w:r>
      <w:r w:rsidRPr="00934EFF">
        <w:fldChar w:fldCharType="separate"/>
      </w:r>
      <w:r w:rsidR="0097459C" w:rsidRPr="0097459C">
        <w:rPr>
          <w:rFonts w:ascii="Calibri" w:hAnsi="Calibri"/>
          <w:noProof/>
        </w:rPr>
        <w:t xml:space="preserve">1. </w:t>
      </w:r>
      <w:r w:rsidR="0097459C" w:rsidRPr="0097459C">
        <w:rPr>
          <w:rFonts w:ascii="Calibri" w:hAnsi="Calibri"/>
          <w:noProof/>
        </w:rPr>
        <w:tab/>
        <w:t xml:space="preserve">The 1000 Genomes Project Consortium. (2010) A map of human genome variation from population-scale sequencing. Nature 467: 1061–1073. doi:10.1038/nature09534. </w:t>
      </w:r>
    </w:p>
    <w:p w:rsidR="0097459C" w:rsidRPr="002F1C39" w:rsidRDefault="00934EFF" w:rsidP="000477CB">
      <w:pPr>
        <w:rPr>
          <w:sz w:val="24"/>
          <w:szCs w:val="24"/>
        </w:rPr>
      </w:pPr>
      <w:r>
        <w:rPr>
          <w:sz w:val="24"/>
          <w:szCs w:val="24"/>
        </w:rPr>
        <w:fldChar w:fldCharType="end"/>
      </w:r>
    </w:p>
    <w:p w:rsidR="00762672" w:rsidRDefault="006C6B2C"/>
    <w:sectPr w:rsidR="00762672" w:rsidSect="007B27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0BE8"/>
    <w:rsid w:val="000477CB"/>
    <w:rsid w:val="005F0BE8"/>
    <w:rsid w:val="006C6B2C"/>
    <w:rsid w:val="007B27BC"/>
    <w:rsid w:val="0087637C"/>
    <w:rsid w:val="00934EFF"/>
    <w:rsid w:val="0097459C"/>
    <w:rsid w:val="00993945"/>
    <w:rsid w:val="00E27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BE8"/>
    <w:rPr>
      <w:rFonts w:eastAsiaTheme="minorEastAsia"/>
      <w:lang w:val="en-AU" w:eastAsia="en-AU"/>
    </w:rPr>
  </w:style>
  <w:style w:type="paragraph" w:styleId="Heading2">
    <w:name w:val="heading 2"/>
    <w:basedOn w:val="Normal"/>
    <w:next w:val="Normal"/>
    <w:link w:val="Heading2Char"/>
    <w:uiPriority w:val="9"/>
    <w:unhideWhenUsed/>
    <w:qFormat/>
    <w:rsid w:val="005F0BE8"/>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0BE8"/>
    <w:rPr>
      <w:rFonts w:asciiTheme="majorHAnsi" w:eastAsiaTheme="majorEastAsia" w:hAnsiTheme="majorHAnsi" w:cstheme="majorBidi"/>
      <w:b/>
      <w:bCs/>
      <w:i/>
      <w:iCs/>
      <w:sz w:val="28"/>
      <w:szCs w:val="28"/>
      <w:lang w:val="en-AU" w:eastAsia="en-AU"/>
    </w:rPr>
  </w:style>
  <w:style w:type="paragraph" w:styleId="NormalWeb">
    <w:name w:val="Normal (Web)"/>
    <w:basedOn w:val="Normal"/>
    <w:uiPriority w:val="99"/>
    <w:semiHidden/>
    <w:unhideWhenUsed/>
    <w:rsid w:val="0097459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51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FB864-18D3-43E0-8A24-BCD88E52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3698</Characters>
  <Application>Microsoft Office Word</Application>
  <DocSecurity>0</DocSecurity>
  <Lines>30</Lines>
  <Paragraphs>8</Paragraphs>
  <ScaleCrop>false</ScaleCrop>
  <Company> </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Fullerton</dc:creator>
  <cp:keywords/>
  <dc:description/>
  <cp:lastModifiedBy>Jan Fullerton</cp:lastModifiedBy>
  <cp:revision>2</cp:revision>
  <dcterms:created xsi:type="dcterms:W3CDTF">2014-02-26T02:25:00Z</dcterms:created>
  <dcterms:modified xsi:type="dcterms:W3CDTF">2014-02-26T02:25:00Z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a.shaw@neura.edu.au@www.mendeley.com</vt:lpwstr>
  </property>
  <property fmtid="{D5CDD505-2E9C-101B-9397-08002B2CF9AE}" pid="4" name="Mendeley Citation Style_1">
    <vt:lpwstr>http://www.zotero.org/styles/plos-one</vt:lpwstr>
  </property>
  <property fmtid="{D5CDD505-2E9C-101B-9397-08002B2CF9AE}" pid="5" name="Mendeley Recent Style Id 0_1">
    <vt:lpwstr>http://www.zotero.org/styles/american-journal-of-medical-genetics</vt:lpwstr>
  </property>
  <property fmtid="{D5CDD505-2E9C-101B-9397-08002B2CF9AE}" pid="6" name="Mendeley Recent Style Name 0_1">
    <vt:lpwstr>American Journal of Medical Genetics</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http://www.zotero.org/styles/harvard2</vt:lpwstr>
  </property>
  <property fmtid="{D5CDD505-2E9C-101B-9397-08002B2CF9AE}" pid="12" name="Mendeley Recent Style Name 3_1">
    <vt:lpwstr>Harvard Reference format 2</vt:lpwstr>
  </property>
  <property fmtid="{D5CDD505-2E9C-101B-9397-08002B2CF9AE}" pid="13" name="Mendeley Recent Style Id 4_1">
    <vt:lpwstr>http://www.zotero.org/styles/harvard3</vt:lpwstr>
  </property>
  <property fmtid="{D5CDD505-2E9C-101B-9397-08002B2CF9AE}" pid="14" name="Mendeley Recent Style Name 4_1">
    <vt:lpwstr>Harvard Reference format 3</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http://www.zotero.org/styles/ou-harvard</vt:lpwstr>
  </property>
  <property fmtid="{D5CDD505-2E9C-101B-9397-08002B2CF9AE}" pid="18" name="Mendeley Recent Style Name 6_1">
    <vt:lpwstr>Open University Harvard Reference</vt:lpwstr>
  </property>
  <property fmtid="{D5CDD505-2E9C-101B-9397-08002B2CF9AE}" pid="19" name="Mendeley Recent Style Id 7_1">
    <vt:lpwstr>http://www.zotero.org/styles/plos-genetics</vt:lpwstr>
  </property>
  <property fmtid="{D5CDD505-2E9C-101B-9397-08002B2CF9AE}" pid="20" name="Mendeley Recent Style Name 7_1">
    <vt:lpwstr>PLOS Genetics</vt:lpwstr>
  </property>
  <property fmtid="{D5CDD505-2E9C-101B-9397-08002B2CF9AE}" pid="21" name="Mendeley Recent Style Id 8_1">
    <vt:lpwstr>http://www.zotero.org/styles/plos-one</vt:lpwstr>
  </property>
  <property fmtid="{D5CDD505-2E9C-101B-9397-08002B2CF9AE}" pid="22" name="Mendeley Recent Style Name 8_1">
    <vt:lpwstr>PLOS ONE</vt:lpwstr>
  </property>
  <property fmtid="{D5CDD505-2E9C-101B-9397-08002B2CF9AE}" pid="23" name="Mendeley Recent Style Id 9_1">
    <vt:lpwstr>http://www.zotero.org/styles/unisa-harvard3</vt:lpwstr>
  </property>
  <property fmtid="{D5CDD505-2E9C-101B-9397-08002B2CF9AE}" pid="24" name="Mendeley Recent Style Name 9_1">
    <vt:lpwstr>University of South Australia 2007 (Harvard-based author-date system)</vt:lpwstr>
  </property>
</Properties>
</file>