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BE8" w:rsidRPr="001E563D" w:rsidRDefault="005F0BE8" w:rsidP="005F0BE8">
      <w:pPr>
        <w:spacing w:line="240" w:lineRule="auto"/>
        <w:rPr>
          <w:sz w:val="24"/>
          <w:szCs w:val="24"/>
        </w:rPr>
      </w:pPr>
      <w:r>
        <w:rPr>
          <w:sz w:val="24"/>
          <w:szCs w:val="24"/>
        </w:rPr>
        <w:t xml:space="preserve">“Characterisation of genetic variation in </w:t>
      </w:r>
      <w:r w:rsidRPr="004C0283">
        <w:rPr>
          <w:i/>
          <w:sz w:val="24"/>
          <w:szCs w:val="24"/>
        </w:rPr>
        <w:t>ST8SIA2</w:t>
      </w:r>
      <w:r>
        <w:rPr>
          <w:sz w:val="24"/>
          <w:szCs w:val="24"/>
        </w:rPr>
        <w:t xml:space="preserve"> and its interaction region in NCAM1 in patients with bipolar disorder”</w:t>
      </w:r>
    </w:p>
    <w:p w:rsidR="005F0BE8" w:rsidRPr="00075671" w:rsidRDefault="005F0BE8" w:rsidP="005F0BE8">
      <w:pPr>
        <w:spacing w:after="0" w:line="240" w:lineRule="auto"/>
        <w:rPr>
          <w:b/>
          <w:sz w:val="24"/>
          <w:szCs w:val="24"/>
          <w:vertAlign w:val="superscript"/>
        </w:rPr>
      </w:pPr>
      <w:r w:rsidRPr="00381983">
        <w:rPr>
          <w:b/>
          <w:sz w:val="24"/>
          <w:szCs w:val="24"/>
        </w:rPr>
        <w:t>AD Shaw, Y</w:t>
      </w:r>
      <w:r>
        <w:rPr>
          <w:b/>
          <w:sz w:val="24"/>
          <w:szCs w:val="24"/>
        </w:rPr>
        <w:t xml:space="preserve"> </w:t>
      </w:r>
      <w:proofErr w:type="spellStart"/>
      <w:r w:rsidRPr="00381983">
        <w:rPr>
          <w:b/>
          <w:sz w:val="24"/>
          <w:szCs w:val="24"/>
        </w:rPr>
        <w:t>Tiwari</w:t>
      </w:r>
      <w:proofErr w:type="spellEnd"/>
      <w:r w:rsidRPr="00381983">
        <w:rPr>
          <w:b/>
          <w:sz w:val="24"/>
          <w:szCs w:val="24"/>
        </w:rPr>
        <w:t xml:space="preserve">, W Kaplan, </w:t>
      </w:r>
      <w:proofErr w:type="gramStart"/>
      <w:r w:rsidRPr="00381983">
        <w:rPr>
          <w:b/>
          <w:sz w:val="24"/>
          <w:szCs w:val="24"/>
        </w:rPr>
        <w:t>A</w:t>
      </w:r>
      <w:proofErr w:type="gramEnd"/>
      <w:r>
        <w:rPr>
          <w:b/>
          <w:sz w:val="24"/>
          <w:szCs w:val="24"/>
        </w:rPr>
        <w:t xml:space="preserve"> </w:t>
      </w:r>
      <w:r w:rsidRPr="00381983">
        <w:rPr>
          <w:b/>
          <w:sz w:val="24"/>
          <w:szCs w:val="24"/>
        </w:rPr>
        <w:t xml:space="preserve">Heath, </w:t>
      </w:r>
      <w:r w:rsidRPr="00D422C2">
        <w:rPr>
          <w:b/>
          <w:sz w:val="24"/>
          <w:szCs w:val="24"/>
        </w:rPr>
        <w:t xml:space="preserve">PB Mitchell, </w:t>
      </w:r>
      <w:r w:rsidRPr="00381983">
        <w:rPr>
          <w:b/>
          <w:sz w:val="24"/>
          <w:szCs w:val="24"/>
        </w:rPr>
        <w:t>PR</w:t>
      </w:r>
      <w:r w:rsidRPr="001E563D">
        <w:rPr>
          <w:b/>
          <w:sz w:val="24"/>
          <w:szCs w:val="24"/>
        </w:rPr>
        <w:t xml:space="preserve"> Schofield, JM Fullerton</w:t>
      </w:r>
    </w:p>
    <w:p w:rsidR="005F0BE8" w:rsidRDefault="005F0BE8" w:rsidP="005F0BE8">
      <w:pPr>
        <w:pStyle w:val="Heading2"/>
        <w:rPr>
          <w:i w:val="0"/>
        </w:rPr>
      </w:pPr>
    </w:p>
    <w:p w:rsidR="005F0BE8" w:rsidRDefault="005F0BE8" w:rsidP="005F0BE8">
      <w:pPr>
        <w:pStyle w:val="Heading2"/>
        <w:rPr>
          <w:i w:val="0"/>
        </w:rPr>
      </w:pPr>
      <w:r>
        <w:rPr>
          <w:i w:val="0"/>
        </w:rPr>
        <w:t>Supplementary Note 1: GATK SNP Filtering Threshold</w:t>
      </w:r>
    </w:p>
    <w:p w:rsidR="005F0BE8" w:rsidRDefault="005F0BE8" w:rsidP="005F0BE8">
      <w:pPr>
        <w:rPr>
          <w:sz w:val="24"/>
          <w:szCs w:val="24"/>
        </w:rPr>
      </w:pPr>
      <w:r>
        <w:rPr>
          <w:sz w:val="24"/>
          <w:szCs w:val="24"/>
        </w:rPr>
        <w:t>Initially we used the GATK recommended filtering for genome wide sequencing (see methods). W</w:t>
      </w:r>
      <w:r w:rsidRPr="002F1C39">
        <w:rPr>
          <w:sz w:val="24"/>
          <w:szCs w:val="24"/>
        </w:rPr>
        <w:t>e inspected the SNP</w:t>
      </w:r>
      <w:r>
        <w:rPr>
          <w:sz w:val="24"/>
          <w:szCs w:val="24"/>
        </w:rPr>
        <w:t>s</w:t>
      </w:r>
      <w:r w:rsidRPr="002F1C39">
        <w:rPr>
          <w:sz w:val="24"/>
          <w:szCs w:val="24"/>
        </w:rPr>
        <w:t xml:space="preserve"> that passed filtering,</w:t>
      </w:r>
      <w:r>
        <w:rPr>
          <w:sz w:val="24"/>
          <w:szCs w:val="24"/>
        </w:rPr>
        <w:t xml:space="preserve"> examining their reported allele frequency and quality scores in our data. </w:t>
      </w:r>
      <w:r w:rsidRPr="002F1C39">
        <w:rPr>
          <w:sz w:val="24"/>
          <w:szCs w:val="24"/>
        </w:rPr>
        <w:t xml:space="preserve">We identified a subset of variants that passed filtering </w:t>
      </w:r>
      <w:r>
        <w:rPr>
          <w:sz w:val="24"/>
          <w:szCs w:val="24"/>
        </w:rPr>
        <w:t xml:space="preserve">but </w:t>
      </w:r>
      <w:r w:rsidRPr="002F1C39">
        <w:rPr>
          <w:sz w:val="24"/>
          <w:szCs w:val="24"/>
        </w:rPr>
        <w:t xml:space="preserve">were not </w:t>
      </w:r>
      <w:r>
        <w:rPr>
          <w:sz w:val="24"/>
          <w:szCs w:val="24"/>
        </w:rPr>
        <w:t xml:space="preserve">reported </w:t>
      </w:r>
      <w:r w:rsidRPr="002F1C39">
        <w:rPr>
          <w:sz w:val="24"/>
          <w:szCs w:val="24"/>
        </w:rPr>
        <w:t xml:space="preserve">in </w:t>
      </w:r>
      <w:proofErr w:type="spellStart"/>
      <w:r w:rsidRPr="002F1C39">
        <w:rPr>
          <w:sz w:val="24"/>
          <w:szCs w:val="24"/>
        </w:rPr>
        <w:t>dbSNP</w:t>
      </w:r>
      <w:proofErr w:type="spellEnd"/>
      <w:r w:rsidRPr="002F1C39">
        <w:rPr>
          <w:sz w:val="24"/>
          <w:szCs w:val="24"/>
        </w:rPr>
        <w:t xml:space="preserve"> 135, despite being at </w:t>
      </w:r>
      <w:r>
        <w:rPr>
          <w:sz w:val="24"/>
          <w:szCs w:val="24"/>
        </w:rPr>
        <w:t xml:space="preserve">apparently </w:t>
      </w:r>
      <w:r w:rsidRPr="002F1C39">
        <w:rPr>
          <w:sz w:val="24"/>
          <w:szCs w:val="24"/>
        </w:rPr>
        <w:t xml:space="preserve">high allele frequency in the bipolar cohort (MAF range=0.12-0.34; n=16; Figure </w:t>
      </w:r>
      <w:r>
        <w:rPr>
          <w:sz w:val="24"/>
          <w:szCs w:val="24"/>
        </w:rPr>
        <w:t>S1</w:t>
      </w:r>
      <w:r w:rsidRPr="002F1C39">
        <w:rPr>
          <w:sz w:val="24"/>
          <w:szCs w:val="24"/>
        </w:rPr>
        <w:t xml:space="preserve">). Given that </w:t>
      </w:r>
      <w:proofErr w:type="spellStart"/>
      <w:r w:rsidRPr="002F1C39">
        <w:rPr>
          <w:sz w:val="24"/>
          <w:szCs w:val="24"/>
        </w:rPr>
        <w:t>genome</w:t>
      </w:r>
      <w:r w:rsidRPr="002F1C39">
        <w:rPr>
          <w:sz w:val="24"/>
          <w:szCs w:val="24"/>
        </w:rPr>
        <w:noBreakHyphen/>
        <w:t>wide</w:t>
      </w:r>
      <w:proofErr w:type="spellEnd"/>
      <w:r w:rsidRPr="002F1C39">
        <w:rPr>
          <w:sz w:val="24"/>
          <w:szCs w:val="24"/>
        </w:rPr>
        <w:t xml:space="preserve"> variation has been thoroughly characterised in the Caucasian European population from which our individuals were drawn, and given the relatively low quality scores for these variants (QD &lt; 5), it seemed unlikely that these </w:t>
      </w:r>
      <w:r>
        <w:rPr>
          <w:sz w:val="24"/>
          <w:szCs w:val="24"/>
        </w:rPr>
        <w:t>were</w:t>
      </w:r>
      <w:r w:rsidRPr="002F1C39">
        <w:rPr>
          <w:sz w:val="24"/>
          <w:szCs w:val="24"/>
        </w:rPr>
        <w:t xml:space="preserve"> true novel variants</w:t>
      </w:r>
      <w:r>
        <w:rPr>
          <w:sz w:val="24"/>
          <w:szCs w:val="24"/>
        </w:rPr>
        <w:t>.</w:t>
      </w:r>
    </w:p>
    <w:p w:rsidR="005F0BE8" w:rsidRDefault="005F0BE8" w:rsidP="005F0BE8">
      <w:pPr>
        <w:rPr>
          <w:sz w:val="24"/>
          <w:szCs w:val="24"/>
        </w:rPr>
      </w:pPr>
      <w:r w:rsidRPr="002F1C39">
        <w:rPr>
          <w:sz w:val="24"/>
          <w:szCs w:val="24"/>
        </w:rPr>
        <w:t xml:space="preserve">On inspecting the alignment of raw sequence data at these sites, we found that all of these ‘novel’ sites with high allele frequency were within </w:t>
      </w:r>
      <w:proofErr w:type="spellStart"/>
      <w:r w:rsidRPr="002F1C39">
        <w:rPr>
          <w:sz w:val="24"/>
          <w:szCs w:val="24"/>
        </w:rPr>
        <w:t>homopolymer</w:t>
      </w:r>
      <w:proofErr w:type="spellEnd"/>
      <w:r w:rsidRPr="002F1C39">
        <w:rPr>
          <w:sz w:val="24"/>
          <w:szCs w:val="24"/>
        </w:rPr>
        <w:t>-rich sequence contexts. Spurious ‘</w:t>
      </w:r>
      <w:proofErr w:type="spellStart"/>
      <w:r w:rsidRPr="002F1C39">
        <w:rPr>
          <w:sz w:val="24"/>
          <w:szCs w:val="24"/>
        </w:rPr>
        <w:t>dinucleotide</w:t>
      </w:r>
      <w:proofErr w:type="spellEnd"/>
      <w:r w:rsidRPr="002F1C39">
        <w:rPr>
          <w:sz w:val="24"/>
          <w:szCs w:val="24"/>
        </w:rPr>
        <w:t xml:space="preserve">’ SNPs are known to arise next to </w:t>
      </w:r>
      <w:proofErr w:type="spellStart"/>
      <w:r w:rsidRPr="002F1C39">
        <w:rPr>
          <w:sz w:val="24"/>
          <w:szCs w:val="24"/>
        </w:rPr>
        <w:t>homopolymers</w:t>
      </w:r>
      <w:proofErr w:type="spellEnd"/>
      <w:r w:rsidRPr="002F1C39">
        <w:rPr>
          <w:sz w:val="24"/>
          <w:szCs w:val="24"/>
        </w:rPr>
        <w:t xml:space="preserve"> due to a ‘loss of synchrony’ in 454</w:t>
      </w:r>
      <w:r w:rsidRPr="002F1C39">
        <w:rPr>
          <w:sz w:val="24"/>
          <w:szCs w:val="24"/>
        </w:rPr>
        <w:noBreakHyphen/>
        <w:t xml:space="preserve">sequencing </w:t>
      </w:r>
      <w:r w:rsidR="007C28A0" w:rsidRPr="002F1C39">
        <w:rPr>
          <w:sz w:val="24"/>
          <w:szCs w:val="24"/>
        </w:rPr>
        <w:fldChar w:fldCharType="begin" w:fldLock="1"/>
      </w:r>
      <w:r w:rsidR="0041746C">
        <w:rPr>
          <w:sz w:val="24"/>
          <w:szCs w:val="24"/>
        </w:rPr>
        <w:instrText>ADDIN CSL_CITATION { "citationItems" : [ { "id" : "ITEM-1", "itemData" : { "DOI" : "10.1101/gr.092072.109.on", "author" : [ { "dropping-particle" : "", "family" : "Hoberman", "given" : "Rose", "non-dropping-particle" : "", "parse-names" : false, "suffix" : "" }, { "dropping-particle" : "", "family" : "Dias", "given" : "Joana", "non-dropping-particle" : "", "parse-names" : false, "suffix" : "" }, { "dropping-particle" : "", "family" : "Ge", "given" : "Bing", "non-dropping-particle" : "", "parse-names" : false, "suffix" : "" }, { "dropping-particle" : "", "family" : "Harmsen", "given" : "Eef", "non-dropping-particle" : "", "parse-names" : false, "suffix" : "" } ], "container-title" : "Genome Research", "id" : "ITEM-1", "issued" : { "date-parts" : [ [ "2009" ] ] }, "page" : "1542-1552", "title" : "A probabilistic approach for SNP discovery in high-throughput human resequencing data", "type" : "article-journal" }, "uris" : [ "http://www.mendeley.com/documents/?uuid=f882768e-49be-48bd-b8f4-dfb6fcaafbc2" ] } ], "mendeley" : { "previouslyFormattedCitation" : "[1]" }, "properties" : { "noteIndex" : 0 }, "schema" : "https://github.com/citation-style-language/schema/raw/master/csl-citation.json" }</w:instrText>
      </w:r>
      <w:r w:rsidR="007C28A0" w:rsidRPr="002F1C39">
        <w:rPr>
          <w:sz w:val="24"/>
          <w:szCs w:val="24"/>
        </w:rPr>
        <w:fldChar w:fldCharType="separate"/>
      </w:r>
      <w:r w:rsidR="0041746C" w:rsidRPr="0041746C">
        <w:rPr>
          <w:noProof/>
          <w:sz w:val="24"/>
          <w:szCs w:val="24"/>
        </w:rPr>
        <w:t>[1]</w:t>
      </w:r>
      <w:r w:rsidR="007C28A0" w:rsidRPr="002F1C39">
        <w:rPr>
          <w:sz w:val="24"/>
          <w:szCs w:val="24"/>
        </w:rPr>
        <w:fldChar w:fldCharType="end"/>
      </w:r>
      <w:r w:rsidRPr="002F1C39">
        <w:rPr>
          <w:sz w:val="24"/>
          <w:szCs w:val="24"/>
        </w:rPr>
        <w:t xml:space="preserve">, whereby a false inserted base appears in the previous or next flow cycle relative to the </w:t>
      </w:r>
      <w:proofErr w:type="spellStart"/>
      <w:r w:rsidRPr="002F1C39">
        <w:rPr>
          <w:sz w:val="24"/>
          <w:szCs w:val="24"/>
        </w:rPr>
        <w:t>homopolymer</w:t>
      </w:r>
      <w:proofErr w:type="spellEnd"/>
      <w:r w:rsidRPr="002F1C39">
        <w:rPr>
          <w:sz w:val="24"/>
          <w:szCs w:val="24"/>
        </w:rPr>
        <w:t xml:space="preserve">. Indeed all of the suspect calls with high allele frequency from our dataset were due to an inserted base with the same base identity as a proximal </w:t>
      </w:r>
      <w:proofErr w:type="spellStart"/>
      <w:r w:rsidRPr="002F1C39">
        <w:rPr>
          <w:sz w:val="24"/>
          <w:szCs w:val="24"/>
        </w:rPr>
        <w:t>homopolymer</w:t>
      </w:r>
      <w:proofErr w:type="spellEnd"/>
      <w:r w:rsidRPr="002F1C39">
        <w:rPr>
          <w:sz w:val="24"/>
          <w:szCs w:val="24"/>
        </w:rPr>
        <w:t xml:space="preserve">, and are thus attributable to loss of synchrony artefacts. </w:t>
      </w:r>
      <w:r>
        <w:rPr>
          <w:rFonts w:cs="Courier New"/>
          <w:sz w:val="24"/>
          <w:szCs w:val="24"/>
        </w:rPr>
        <w:t xml:space="preserve">We confirmed by restriction digest one of these apparent common novel variants, which lay downstream of a </w:t>
      </w:r>
      <w:proofErr w:type="spellStart"/>
      <w:r>
        <w:rPr>
          <w:rFonts w:cs="Courier New"/>
          <w:sz w:val="24"/>
          <w:szCs w:val="24"/>
        </w:rPr>
        <w:t>homopolymer</w:t>
      </w:r>
      <w:proofErr w:type="spellEnd"/>
      <w:r>
        <w:rPr>
          <w:rFonts w:cs="Courier New"/>
          <w:sz w:val="24"/>
          <w:szCs w:val="24"/>
        </w:rPr>
        <w:t xml:space="preserve"> immediately adjacent to </w:t>
      </w:r>
      <w:proofErr w:type="spellStart"/>
      <w:r>
        <w:rPr>
          <w:rFonts w:cs="Courier New"/>
          <w:sz w:val="24"/>
          <w:szCs w:val="24"/>
        </w:rPr>
        <w:t>exon</w:t>
      </w:r>
      <w:proofErr w:type="spellEnd"/>
      <w:r>
        <w:rPr>
          <w:rFonts w:cs="Courier New"/>
          <w:sz w:val="24"/>
          <w:szCs w:val="24"/>
        </w:rPr>
        <w:t xml:space="preserve"> 6 (at 93,007,325 </w:t>
      </w:r>
      <w:proofErr w:type="spellStart"/>
      <w:r>
        <w:rPr>
          <w:rFonts w:cs="Courier New"/>
          <w:sz w:val="24"/>
          <w:szCs w:val="24"/>
        </w:rPr>
        <w:t>bp</w:t>
      </w:r>
      <w:proofErr w:type="spellEnd"/>
      <w:r>
        <w:rPr>
          <w:rFonts w:cs="Courier New"/>
          <w:sz w:val="24"/>
          <w:szCs w:val="24"/>
        </w:rPr>
        <w:t>), was indeed a sequencing artefact (data not shown).</w:t>
      </w:r>
      <w:r>
        <w:rPr>
          <w:sz w:val="24"/>
          <w:szCs w:val="24"/>
        </w:rPr>
        <w:t xml:space="preserve"> </w:t>
      </w:r>
      <w:r w:rsidRPr="002F1C39">
        <w:rPr>
          <w:sz w:val="24"/>
          <w:szCs w:val="24"/>
        </w:rPr>
        <w:t xml:space="preserve">As these calls had relatively low QD scores, we found that increasing the Quality </w:t>
      </w:r>
      <w:proofErr w:type="gramStart"/>
      <w:r w:rsidRPr="002F1C39">
        <w:rPr>
          <w:sz w:val="24"/>
          <w:szCs w:val="24"/>
        </w:rPr>
        <w:t>By</w:t>
      </w:r>
      <w:proofErr w:type="gramEnd"/>
      <w:r w:rsidRPr="002F1C39">
        <w:rPr>
          <w:sz w:val="24"/>
          <w:szCs w:val="24"/>
        </w:rPr>
        <w:t xml:space="preserve"> Depth (QD) threshold for filtering to </w:t>
      </w:r>
      <w:r>
        <w:rPr>
          <w:sz w:val="24"/>
          <w:szCs w:val="24"/>
        </w:rPr>
        <w:t xml:space="preserve">the more stringent </w:t>
      </w:r>
      <w:r w:rsidRPr="002F1C39">
        <w:rPr>
          <w:sz w:val="24"/>
          <w:szCs w:val="24"/>
        </w:rPr>
        <w:t>QD &lt; 5 from the GATK recommended QD &lt; 2 eliminated all of these sites, and resulted in 349 SNPs which passed filtering</w:t>
      </w:r>
      <w:r>
        <w:rPr>
          <w:sz w:val="24"/>
          <w:szCs w:val="24"/>
        </w:rPr>
        <w:t>.</w:t>
      </w:r>
    </w:p>
    <w:p w:rsidR="005F0BE8" w:rsidRDefault="005F0BE8" w:rsidP="005F0BE8">
      <w:pPr>
        <w:rPr>
          <w:sz w:val="24"/>
          <w:szCs w:val="24"/>
        </w:rPr>
      </w:pPr>
      <w:r>
        <w:rPr>
          <w:sz w:val="24"/>
          <w:szCs w:val="24"/>
        </w:rPr>
        <w:t xml:space="preserve">Although it is unlikely that all spurious calls could be removed using a filtering-by-threshold approach, and conversely that all genuine SNPs will pass filtering, increasing the stringency from recommended genome-wide filtering in this manner resulted in: </w:t>
      </w:r>
      <w:proofErr w:type="spellStart"/>
      <w:r>
        <w:rPr>
          <w:sz w:val="24"/>
          <w:szCs w:val="24"/>
        </w:rPr>
        <w:t>i</w:t>
      </w:r>
      <w:proofErr w:type="spellEnd"/>
      <w:r>
        <w:rPr>
          <w:sz w:val="24"/>
          <w:szCs w:val="24"/>
        </w:rPr>
        <w:t>) a Ti/</w:t>
      </w:r>
      <w:proofErr w:type="spellStart"/>
      <w:r>
        <w:rPr>
          <w:sz w:val="24"/>
          <w:szCs w:val="24"/>
        </w:rPr>
        <w:t>Tv</w:t>
      </w:r>
      <w:proofErr w:type="spellEnd"/>
      <w:r>
        <w:rPr>
          <w:sz w:val="24"/>
          <w:szCs w:val="24"/>
        </w:rPr>
        <w:t xml:space="preserve"> ratio of 2.26, which is just outside the expectation for whole-genome sequence data </w:t>
      </w:r>
      <w:r w:rsidR="007C28A0">
        <w:rPr>
          <w:sz w:val="24"/>
          <w:szCs w:val="24"/>
        </w:rPr>
        <w:fldChar w:fldCharType="begin" w:fldLock="1"/>
      </w:r>
      <w:r w:rsidR="0041746C">
        <w:rPr>
          <w:sz w:val="24"/>
          <w:szCs w:val="24"/>
        </w:rPr>
        <w:instrText>ADDIN CSL_CITATION { "citationItems" : [ { "id" : "ITEM-1", "itemData" : { "DOI" : "10.1038/ng.806", "ISSN" : "1546-1718", "PMID" : "21478889", "abstract" : "Recent advances in sequencing technology make it possible to comprehensively catalog genetic variation in population samples, creating a foundation for understanding human disease, ancestry and evolution. The amounts of raw data produced are prodigious, and many computational steps are required to translate this output into high-quality variant calls. We present a unified analytic framework to discover and genotype variation among multiple samples simultaneously that achieves sensitive and specific results across five sequencing technologies and three distinct, canonical experimental designs. Our process includes (i) initial read mapping; (ii) local realignment around indels; (iii) base quality score recalibration; (iv) SNP discovery and genotyping to find all potential variants; and (v) machine learning to separate true segregating variation from machine artifacts common to next-generation sequencing technologies. We here discuss the application of these tools, instantiated in the Genome Analysis Toolkit, to deep whole-genome, whole-exome capture and multi-sample low-pass (\u223c4\u00d7) 1000 Genomes Project datasets.", "author" : [ { "dropping-particle" : "", "family" : "DePristo", "given" : "Mark a", "non-dropping-particle" : "", "parse-names" : false, "suffix" : "" }, { "dropping-particle" : "", "family" : "Banks", "given" : "Eric", "non-dropping-particle" : "", "parse-names" : false, "suffix" : "" }, { "dropping-particle" : "", "family" : "Poplin", "given" : "Ryan", "non-dropping-particle" : "", "parse-names" : false, "suffix" : "" }, { "dropping-particle" : "V", "family" : "Garimella", "given" : "Kiran", "non-dropping-particle" : "", "parse-names" : false, "suffix" : "" }, { "dropping-particle" : "", "family" : "Maguire", "given" : "Jared R", "non-dropping-particle" : "", "parse-names" : false, "suffix" : "" }, { "dropping-particle" : "", "family" : "Hartl", "given" : "Christopher", "non-dropping-particle" : "", "parse-names" : false, "suffix" : "" }, { "dropping-particle" : "", "family" : "Philippakis", "given" : "Anthony a", "non-dropping-particle" : "", "parse-names" : false, "suffix" : "" }, { "dropping-particle" : "", "family" : "Angel", "given" : "Guillermo", "non-dropping-particle" : "del", "parse-names" : false, "suffix" : "" }, { "dropping-particle" : "", "family" : "Rivas", "given" : "Manuel a", "non-dropping-particle" : "", "parse-names" : false, "suffix" : "" }, { "dropping-particle" : "", "family" : "Hanna", "given" : "Matt", "non-dropping-particle" : "", "parse-names" : false, "suffix" : "" }, { "dropping-particle" : "", "family" : "McKenna", "given" : "Aaron", "non-dropping-particle" : "", "parse-names" : false, "suffix" : "" }, { "dropping-particle" : "", "family" : "Fennell", "given" : "Tim J", "non-dropping-particle" : "", "parse-names" : false, "suffix" : "" }, { "dropping-particle" : "", "family" : "Kernytsky", "given" : "Andrew M", "non-dropping-particle" : "", "parse-names" : false, "suffix" : "" }, { "dropping-particle" : "", "family" : "Sivachenko", "given" : "Andrey Y", "non-dropping-particle" : "", "parse-names" : false, "suffix" : "" }, { "dropping-particle" : "", "family" : "Cibulskis", "given" : "Kristian", "non-dropping-particle" : "", "parse-names" : false, "suffix" : "" }, { "dropping-particle" : "", "family" : "Gabriel", "given" : "Stacey B", "non-dropping-particle" : "", "parse-names" : false, "suffix" : "" }, { "dropping-particle" : "", "family" : "Altshuler", "given" : "David", "non-dropping-particle" : "", "parse-names" : false, "suffix" : "" }, { "dropping-particle" : "", "family" : "Daly", "given" : "Mark J", "non-dropping-particle" : "", "parse-names" : false, "suffix" : "" } ], "container-title" : "Nature Genetics", "id" : "ITEM-1", "issue" : "5", "issued" : { "date-parts" : [ [ "2011", "5" ] ] }, "page" : "491-8", "title" : "A framework for variation discovery and genotyping using next-generation DNA sequencing data.", "type" : "article-journal", "volume" : "43" }, "prefix" : "2.0-2.2;", "uris" : [ "http://www.mendeley.com/documents/?uuid=1c3a9f41-a1d6-4804-81f4-4eace7777a57" ] }, { "id" : "ITEM-2", "itemData" : { "DOI" : "10.1101/gr.1299703", "ISSN" : "1088-9051", "PMID" : "14525928", "abstract" : "The detailed investigation of variation in functionally important regions of the human genome is expected to promote understanding of genetically complex diseases. We resequenced 65 candidate genes for CNS disorders in an average of 85 European individuals. The minor allele frequency (MAF), an indicator of weak purifying selection, was lowest in radical amino acid alterations, whereas similar MAF was observed for synonymous variants and conservative amino acid alterations. In noncoding sequences, variants located in CpG islands tended to have a lower MAF than those outside CpG islands. The transition/transversion ratio was increased among both synonymous and conservative variants compared with noncoding variants. Conversely, the transition/transversion ratio was lowest among radical amino acid alterations. Furthermore, among nonsynonymous variants, transversions displayed lower MAF than did transitions. This suggests that transversions are associated with functionally important amino acid alterations. By comparing our data with public SNP databases, we found that variants with lower allele frequency are underrepresented in these databases. Therefore, radical variants obtain distinctively lower database coverage. However, those variants appear to be under weak purifying selection and thus could play a role in the etiology of genetically complex diseases.", "author" : [ { "dropping-particle" : "", "family" : "Freudenberg-Hua", "given" : "Yun", "non-dropping-particle" : "", "parse-names" : false, "suffix" : "" }, { "dropping-particle" : "", "family" : "Freudenberg", "given" : "Jan", "non-dropping-particle" : "", "parse-names" : false, "suffix" : "" }, { "dropping-particle" : "", "family" : "Kluck", "given" : "Nadine", "non-dropping-particle" : "", "parse-names" : false, "suffix" : "" }, { "dropping-particle" : "", "family" : "Cichon", "given" : "Sven", "non-dropping-particle" : "", "parse-names" : false, "suffix" : "" }, { "dropping-particle" : "", "family" : "Propping", "given" : "Peter", "non-dropping-particle" : "", "parse-names" : false, "suffix" : "" }, { "dropping-particle" : "", "family" : "N\u00f6then", "given" : "Markus M", "non-dropping-particle" : "", "parse-names" : false, "suffix" : "" } ], "container-title" : "Genome Research", "id" : "ITEM-2", "issue" : "10", "issued" : { "date-parts" : [ [ "2003", "10", "1" ] ] }, "page" : "2271-6", "title" : "Single nucleotide variation analysis in 65 candidate genes for CNS disorders in a representative sample of the European population.", "type" : "article-journal", "volume" : "13" }, "uris" : [ "http://www.mendeley.com/documents/?uuid=f247ba8d-1a8a-480a-bd6c-9e804686a722" ] } ], "mendeley" : { "previouslyFormattedCitation" : "[2.0-2.2; 2,3]" }, "properties" : { "noteIndex" : 0 }, "schema" : "https://github.com/citation-style-language/schema/raw/master/csl-citation.json" }</w:instrText>
      </w:r>
      <w:r w:rsidR="007C28A0">
        <w:rPr>
          <w:sz w:val="24"/>
          <w:szCs w:val="24"/>
        </w:rPr>
        <w:fldChar w:fldCharType="separate"/>
      </w:r>
      <w:r w:rsidR="0041746C" w:rsidRPr="0041746C">
        <w:rPr>
          <w:noProof/>
          <w:sz w:val="24"/>
          <w:szCs w:val="24"/>
        </w:rPr>
        <w:t>[2.0-2.2; 2,3]</w:t>
      </w:r>
      <w:r w:rsidR="007C28A0">
        <w:rPr>
          <w:sz w:val="24"/>
          <w:szCs w:val="24"/>
        </w:rPr>
        <w:fldChar w:fldCharType="end"/>
      </w:r>
      <w:r>
        <w:rPr>
          <w:sz w:val="24"/>
          <w:szCs w:val="24"/>
        </w:rPr>
        <w:t>; ii) a similar proportion of novel calls/total calls to an independent algorithm (Table 1), and iii) a high rate of accuracy of diploid genotype calling at SNP sites that passed filtering (Table 2).</w:t>
      </w:r>
    </w:p>
    <w:p w:rsidR="00A140E8" w:rsidRDefault="00A140E8">
      <w:pPr>
        <w:pStyle w:val="NormalWeb"/>
        <w:ind w:left="640" w:hanging="640"/>
        <w:divId w:val="840126835"/>
      </w:pPr>
    </w:p>
    <w:p w:rsidR="00A140E8" w:rsidRPr="00A140E8" w:rsidRDefault="00A140E8">
      <w:pPr>
        <w:pStyle w:val="NormalWeb"/>
        <w:ind w:left="640" w:hanging="640"/>
        <w:divId w:val="840126835"/>
        <w:rPr>
          <w:b/>
        </w:rPr>
      </w:pPr>
      <w:r w:rsidRPr="00A140E8">
        <w:rPr>
          <w:b/>
        </w:rPr>
        <w:lastRenderedPageBreak/>
        <w:t>References</w:t>
      </w:r>
    </w:p>
    <w:p w:rsidR="0041746C" w:rsidRPr="0041746C" w:rsidRDefault="007C28A0">
      <w:pPr>
        <w:pStyle w:val="NormalWeb"/>
        <w:ind w:left="640" w:hanging="640"/>
        <w:divId w:val="840126835"/>
        <w:rPr>
          <w:rFonts w:ascii="Calibri" w:hAnsi="Calibri"/>
          <w:noProof/>
          <w:sz w:val="22"/>
        </w:rPr>
      </w:pPr>
      <w:r w:rsidRPr="007C28A0">
        <w:fldChar w:fldCharType="begin" w:fldLock="1"/>
      </w:r>
      <w:r w:rsidR="0041746C">
        <w:instrText xml:space="preserve">ADDIN Mendeley Bibliography CSL_BIBLIOGRAPHY </w:instrText>
      </w:r>
      <w:r w:rsidRPr="007C28A0">
        <w:fldChar w:fldCharType="separate"/>
      </w:r>
      <w:r w:rsidR="0041746C" w:rsidRPr="0041746C">
        <w:rPr>
          <w:rFonts w:ascii="Calibri" w:hAnsi="Calibri"/>
          <w:noProof/>
          <w:sz w:val="22"/>
        </w:rPr>
        <w:t xml:space="preserve">1. </w:t>
      </w:r>
      <w:r w:rsidR="0041746C" w:rsidRPr="0041746C">
        <w:rPr>
          <w:rFonts w:ascii="Calibri" w:hAnsi="Calibri"/>
          <w:noProof/>
          <w:sz w:val="22"/>
        </w:rPr>
        <w:tab/>
        <w:t>Hoberman R, Dias J, Ge B, Harmsen E (2009) A probabilistic approach for SNP discovery in high-throughput human resequencing data. Genome Res: 1542–1552. doi:10.1101/gr.092072.109.on.</w:t>
      </w:r>
    </w:p>
    <w:p w:rsidR="0041746C" w:rsidRPr="0041746C" w:rsidRDefault="0041746C">
      <w:pPr>
        <w:pStyle w:val="NormalWeb"/>
        <w:ind w:left="640" w:hanging="640"/>
        <w:divId w:val="840126835"/>
        <w:rPr>
          <w:rFonts w:ascii="Calibri" w:hAnsi="Calibri"/>
          <w:noProof/>
          <w:sz w:val="22"/>
        </w:rPr>
      </w:pPr>
      <w:r w:rsidRPr="0041746C">
        <w:rPr>
          <w:rFonts w:ascii="Calibri" w:hAnsi="Calibri"/>
          <w:noProof/>
          <w:sz w:val="22"/>
        </w:rPr>
        <w:t xml:space="preserve">2. </w:t>
      </w:r>
      <w:r w:rsidRPr="0041746C">
        <w:rPr>
          <w:rFonts w:ascii="Calibri" w:hAnsi="Calibri"/>
          <w:noProof/>
          <w:sz w:val="22"/>
        </w:rPr>
        <w:tab/>
        <w:t>DePristo M a, Banks E, Poplin R, Garimella K V, Maguire JR, et al. (2011) A framework for variation discovery and genotyping using next-generation DNA sequencing data. Nat Genet 43: 491–498. doi:10.1038/ng.806.</w:t>
      </w:r>
    </w:p>
    <w:p w:rsidR="0041746C" w:rsidRPr="0041746C" w:rsidRDefault="0041746C">
      <w:pPr>
        <w:pStyle w:val="NormalWeb"/>
        <w:ind w:left="640" w:hanging="640"/>
        <w:divId w:val="840126835"/>
        <w:rPr>
          <w:rFonts w:ascii="Calibri" w:hAnsi="Calibri"/>
          <w:noProof/>
          <w:sz w:val="22"/>
        </w:rPr>
      </w:pPr>
      <w:r w:rsidRPr="0041746C">
        <w:rPr>
          <w:rFonts w:ascii="Calibri" w:hAnsi="Calibri"/>
          <w:noProof/>
          <w:sz w:val="22"/>
        </w:rPr>
        <w:t xml:space="preserve">3. </w:t>
      </w:r>
      <w:r w:rsidRPr="0041746C">
        <w:rPr>
          <w:rFonts w:ascii="Calibri" w:hAnsi="Calibri"/>
          <w:noProof/>
          <w:sz w:val="22"/>
        </w:rPr>
        <w:tab/>
        <w:t xml:space="preserve">Freudenberg-Hua Y, Freudenberg J, Kluck N, Cichon S, Propping P, et al. (2003) Single nucleotide variation analysis in 65 candidate genes for CNS disorders in a representative sample of the European population. Genome Res 13: 2271–2276. doi:10.1101/gr.1299703. </w:t>
      </w:r>
    </w:p>
    <w:p w:rsidR="00762672" w:rsidRDefault="007C28A0">
      <w:r>
        <w:fldChar w:fldCharType="end"/>
      </w:r>
    </w:p>
    <w:sectPr w:rsidR="00762672" w:rsidSect="007B27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0BE8"/>
    <w:rsid w:val="0041746C"/>
    <w:rsid w:val="005F0BE8"/>
    <w:rsid w:val="007422FD"/>
    <w:rsid w:val="007B27BC"/>
    <w:rsid w:val="007C28A0"/>
    <w:rsid w:val="0087637C"/>
    <w:rsid w:val="00A140E8"/>
    <w:rsid w:val="00E279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BE8"/>
    <w:rPr>
      <w:rFonts w:eastAsiaTheme="minorEastAsia"/>
      <w:lang w:val="en-AU" w:eastAsia="en-AU"/>
    </w:rPr>
  </w:style>
  <w:style w:type="paragraph" w:styleId="Heading2">
    <w:name w:val="heading 2"/>
    <w:basedOn w:val="Normal"/>
    <w:next w:val="Normal"/>
    <w:link w:val="Heading2Char"/>
    <w:uiPriority w:val="9"/>
    <w:unhideWhenUsed/>
    <w:qFormat/>
    <w:rsid w:val="005F0BE8"/>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0BE8"/>
    <w:rPr>
      <w:rFonts w:asciiTheme="majorHAnsi" w:eastAsiaTheme="majorEastAsia" w:hAnsiTheme="majorHAnsi" w:cstheme="majorBidi"/>
      <w:b/>
      <w:bCs/>
      <w:i/>
      <w:iCs/>
      <w:sz w:val="28"/>
      <w:szCs w:val="28"/>
      <w:lang w:val="en-AU" w:eastAsia="en-AU"/>
    </w:rPr>
  </w:style>
  <w:style w:type="paragraph" w:styleId="NormalWeb">
    <w:name w:val="Normal (Web)"/>
    <w:basedOn w:val="Normal"/>
    <w:uiPriority w:val="99"/>
    <w:semiHidden/>
    <w:unhideWhenUsed/>
    <w:rsid w:val="0041746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4012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F9C9D8-120B-47C3-A844-F4DF39BF5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1761</Words>
  <Characters>10044</Characters>
  <Application>Microsoft Office Word</Application>
  <DocSecurity>0</DocSecurity>
  <Lines>83</Lines>
  <Paragraphs>23</Paragraphs>
  <ScaleCrop>false</ScaleCrop>
  <Company> </Company>
  <LinksUpToDate>false</LinksUpToDate>
  <CharactersWithSpaces>11782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Fullerton</dc:creator>
  <cp:keywords/>
  <dc:description/>
  <cp:lastModifiedBy>Jan Fullerton</cp:lastModifiedBy>
  <cp:revision>2</cp:revision>
  <dcterms:created xsi:type="dcterms:W3CDTF">2014-02-26T02:24:00Z</dcterms:created>
  <dcterms:modified xsi:type="dcterms:W3CDTF">2014-02-26T02:24:00Z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http://www.zotero.org/styles/plos-one</vt:lpwstr>
  </property>
  <property fmtid="{D5CDD505-2E9C-101B-9397-08002B2CF9AE}" pid="3" name="Mendeley Document_1">
    <vt:lpwstr>True</vt:lpwstr>
  </property>
  <property fmtid="{D5CDD505-2E9C-101B-9397-08002B2CF9AE}" pid="4" name="Mendeley User Name_1">
    <vt:lpwstr>a.shaw@neura.edu.au@www.mendeley.com</vt:lpwstr>
  </property>
  <property fmtid="{D5CDD505-2E9C-101B-9397-08002B2CF9AE}" pid="5" name="Mendeley Recent Style Id 0_1">
    <vt:lpwstr>http://www.zotero.org/styles/american-journal-of-medical-genetics</vt:lpwstr>
  </property>
  <property fmtid="{D5CDD505-2E9C-101B-9397-08002B2CF9AE}" pid="6" name="Mendeley Recent Style Name 0_1">
    <vt:lpwstr>American Journal of Medical Genetics</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http://www.zotero.org/styles/harvard1</vt:lpwstr>
  </property>
  <property fmtid="{D5CDD505-2E9C-101B-9397-08002B2CF9AE}" pid="10" name="Mendeley Recent Style Name 2_1">
    <vt:lpwstr>Harvard Reference format 1 (author-date)</vt:lpwstr>
  </property>
  <property fmtid="{D5CDD505-2E9C-101B-9397-08002B2CF9AE}" pid="11" name="Mendeley Recent Style Id 3_1">
    <vt:lpwstr>http://www.zotero.org/styles/harvard2</vt:lpwstr>
  </property>
  <property fmtid="{D5CDD505-2E9C-101B-9397-08002B2CF9AE}" pid="12" name="Mendeley Recent Style Name 3_1">
    <vt:lpwstr>Harvard Reference format 2</vt:lpwstr>
  </property>
  <property fmtid="{D5CDD505-2E9C-101B-9397-08002B2CF9AE}" pid="13" name="Mendeley Recent Style Id 4_1">
    <vt:lpwstr>http://www.zotero.org/styles/harvard3</vt:lpwstr>
  </property>
  <property fmtid="{D5CDD505-2E9C-101B-9397-08002B2CF9AE}" pid="14" name="Mendeley Recent Style Name 4_1">
    <vt:lpwstr>Harvard Reference format 3</vt:lpwstr>
  </property>
  <property fmtid="{D5CDD505-2E9C-101B-9397-08002B2CF9AE}" pid="15" name="Mendeley Recent Style Id 5_1">
    <vt:lpwstr>http://www.zotero.org/styles/nature</vt:lpwstr>
  </property>
  <property fmtid="{D5CDD505-2E9C-101B-9397-08002B2CF9AE}" pid="16" name="Mendeley Recent Style Name 5_1">
    <vt:lpwstr>Nature</vt:lpwstr>
  </property>
  <property fmtid="{D5CDD505-2E9C-101B-9397-08002B2CF9AE}" pid="17" name="Mendeley Recent Style Id 6_1">
    <vt:lpwstr>http://www.zotero.org/styles/ou-harvard</vt:lpwstr>
  </property>
  <property fmtid="{D5CDD505-2E9C-101B-9397-08002B2CF9AE}" pid="18" name="Mendeley Recent Style Name 6_1">
    <vt:lpwstr>Open University Harvard Reference</vt:lpwstr>
  </property>
  <property fmtid="{D5CDD505-2E9C-101B-9397-08002B2CF9AE}" pid="19" name="Mendeley Recent Style Id 7_1">
    <vt:lpwstr>http://www.zotero.org/styles/plos-genetics</vt:lpwstr>
  </property>
  <property fmtid="{D5CDD505-2E9C-101B-9397-08002B2CF9AE}" pid="20" name="Mendeley Recent Style Name 7_1">
    <vt:lpwstr>PLOS Genetics</vt:lpwstr>
  </property>
  <property fmtid="{D5CDD505-2E9C-101B-9397-08002B2CF9AE}" pid="21" name="Mendeley Recent Style Id 8_1">
    <vt:lpwstr>http://www.zotero.org/styles/plos-one</vt:lpwstr>
  </property>
  <property fmtid="{D5CDD505-2E9C-101B-9397-08002B2CF9AE}" pid="22" name="Mendeley Recent Style Name 8_1">
    <vt:lpwstr>PLOS ONE</vt:lpwstr>
  </property>
  <property fmtid="{D5CDD505-2E9C-101B-9397-08002B2CF9AE}" pid="23" name="Mendeley Recent Style Id 9_1">
    <vt:lpwstr>http://www.zotero.org/styles/unisa-harvard3</vt:lpwstr>
  </property>
  <property fmtid="{D5CDD505-2E9C-101B-9397-08002B2CF9AE}" pid="24" name="Mendeley Recent Style Name 9_1">
    <vt:lpwstr>University of South Australia 2007 (Harvard-based author-date system)</vt:lpwstr>
  </property>
</Properties>
</file>