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AF" w:rsidRPr="00CB56E7" w:rsidRDefault="00ED3549" w:rsidP="00ED3549">
      <w:pPr>
        <w:spacing w:line="480" w:lineRule="auto"/>
        <w:rPr>
          <w:rFonts w:ascii="Arial" w:eastAsia="Calibri" w:hAnsi="Arial"/>
          <w:sz w:val="22"/>
          <w:szCs w:val="22"/>
          <w:lang w:val="en-GB"/>
        </w:rPr>
      </w:pPr>
      <w:r w:rsidRPr="00CB56E7">
        <w:rPr>
          <w:rFonts w:ascii="Arial" w:eastAsia="Calibri" w:hAnsi="Arial"/>
          <w:b/>
          <w:sz w:val="22"/>
          <w:szCs w:val="22"/>
          <w:lang w:val="en-GB"/>
        </w:rPr>
        <w:t>Laboratory methods</w:t>
      </w:r>
      <w:r w:rsidR="0056762D" w:rsidRPr="00CB56E7">
        <w:rPr>
          <w:rFonts w:ascii="Arial" w:eastAsia="Calibri" w:hAnsi="Arial"/>
          <w:b/>
          <w:sz w:val="22"/>
          <w:szCs w:val="22"/>
          <w:lang w:val="en-GB"/>
        </w:rPr>
        <w:t xml:space="preserve">: </w:t>
      </w:r>
    </w:p>
    <w:p w:rsidR="008100ED" w:rsidRPr="00CB56E7" w:rsidRDefault="00ED3549" w:rsidP="00ED3549">
      <w:pPr>
        <w:spacing w:line="480" w:lineRule="auto"/>
        <w:rPr>
          <w:rFonts w:ascii="Arial" w:eastAsia="Calibri" w:hAnsi="Arial"/>
          <w:sz w:val="22"/>
          <w:szCs w:val="22"/>
          <w:lang w:val="en-GB"/>
        </w:rPr>
      </w:pPr>
      <w:r w:rsidRPr="00CB56E7">
        <w:rPr>
          <w:rFonts w:ascii="Arial" w:eastAsia="Calibri" w:hAnsi="Arial"/>
          <w:sz w:val="22"/>
          <w:szCs w:val="22"/>
          <w:lang w:val="en-GB"/>
        </w:rPr>
        <w:br/>
      </w:r>
      <w:r w:rsidR="004E7DAF" w:rsidRPr="00CB56E7">
        <w:rPr>
          <w:rFonts w:ascii="Arial" w:eastAsia="Calibri" w:hAnsi="Arial"/>
          <w:sz w:val="22"/>
          <w:szCs w:val="22"/>
          <w:lang w:val="en-GB"/>
        </w:rPr>
        <w:t>Automated b</w:t>
      </w:r>
      <w:r w:rsidRPr="00CB56E7">
        <w:rPr>
          <w:rFonts w:ascii="Arial" w:eastAsia="Calibri" w:hAnsi="Arial"/>
          <w:sz w:val="22"/>
          <w:szCs w:val="22"/>
          <w:lang w:val="en-GB"/>
        </w:rPr>
        <w:t xml:space="preserve">lood culture was undertaken </w:t>
      </w:r>
      <w:r w:rsidR="008100ED" w:rsidRPr="00CB56E7">
        <w:rPr>
          <w:rFonts w:ascii="Arial" w:eastAsia="Calibri" w:hAnsi="Arial"/>
          <w:sz w:val="22"/>
          <w:szCs w:val="22"/>
          <w:lang w:val="en-GB"/>
        </w:rPr>
        <w:t>using a standard</w:t>
      </w:r>
      <w:r w:rsidRPr="00CB56E7">
        <w:rPr>
          <w:rFonts w:ascii="Arial" w:eastAsia="Calibri" w:hAnsi="Arial"/>
          <w:sz w:val="22"/>
          <w:szCs w:val="22"/>
          <w:lang w:val="en-GB"/>
        </w:rPr>
        <w:t xml:space="preserve"> aerobic bottle (BacT/Alert BioMerieux)</w:t>
      </w:r>
      <w:r w:rsidR="007C33DF">
        <w:rPr>
          <w:rFonts w:ascii="Arial" w:eastAsia="Calibri" w:hAnsi="Arial"/>
          <w:sz w:val="22"/>
          <w:szCs w:val="22"/>
          <w:lang w:val="en-GB"/>
        </w:rPr>
        <w:t xml:space="preserve"> by MLW</w:t>
      </w:r>
      <w:r w:rsidRPr="00CB56E7">
        <w:rPr>
          <w:rFonts w:ascii="Arial" w:eastAsia="Calibri" w:hAnsi="Arial"/>
          <w:sz w:val="22"/>
          <w:szCs w:val="22"/>
          <w:lang w:val="en-GB"/>
        </w:rPr>
        <w:t>.</w:t>
      </w:r>
      <w:r w:rsidR="008100ED" w:rsidRPr="00CB56E7">
        <w:rPr>
          <w:rFonts w:ascii="Arial" w:eastAsia="Calibri" w:hAnsi="Arial"/>
          <w:sz w:val="22"/>
          <w:szCs w:val="22"/>
          <w:lang w:val="en-GB"/>
        </w:rPr>
        <w:t xml:space="preserve"> Blood culture volumes and contamination rates are audited and the impact of MLW’s blood culture service described</w:t>
      </w:r>
      <w:r w:rsidR="004E7DAF" w:rsidRPr="00CB56E7">
        <w:rPr>
          <w:rFonts w:ascii="Arial" w:eastAsia="Calibri" w:hAnsi="Arial"/>
          <w:sz w:val="22"/>
          <w:szCs w:val="22"/>
          <w:lang w:val="en-GB"/>
        </w:rPr>
        <w:t xml:space="preserve"> </w: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begin"/>
      </w:r>
      <w:r w:rsidR="00CB56E7" w:rsidRPr="00CB56E7">
        <w:rPr>
          <w:rFonts w:ascii="Arial" w:eastAsia="Calibri" w:hAnsi="Arial"/>
          <w:sz w:val="22"/>
          <w:szCs w:val="22"/>
          <w:lang w:val="en-GB"/>
        </w:rPr>
        <w:instrText xml:space="preserve"> ADDIN EN.CITE &lt;EndNote&gt;&lt;Cite ExcludeYear="1"&gt;&lt;Author&gt;Mtunthama&lt;/Author&gt;&lt;Year&gt;2008&lt;/Year&gt;&lt;RecNum&gt;5297&lt;/RecNum&gt;&lt;DisplayText&gt;[1]&lt;/DisplayText&gt;&lt;record&gt;&lt;rec-number&gt;5297&lt;/rec-number&gt;&lt;foreign-keys&gt;&lt;key app="EN" db-id="x0sftfeaod5pdzeszpc5vvwpt5z5z5dtew0p"&gt;5297&lt;/key&gt;&lt;/foreign-keys&gt;&lt;ref-type name="Journal Article"&gt;17&lt;/ref-type&gt;&lt;contributors&gt;&lt;authors&gt;&lt;author&gt;Mtunthama, N.&lt;/author&gt;&lt;author&gt;Gordon, S. B.&lt;/author&gt;&lt;author&gt;Kusimbwe, T.&lt;/author&gt;&lt;author&gt;Zijlstra, E. E.&lt;/author&gt;&lt;author&gt;Molyneux, M. E.&lt;/author&gt;&lt;author&gt;French, N.&lt;/author&gt;&lt;/authors&gt;&lt;/contributors&gt;&lt;auth-address&gt;Malawi-Liverpool-Liverpool Wellcome Trust Laboratories, Blantyre, Malawi. nmtunthama@mlw.medcol.mw&lt;/auth-address&gt;&lt;titles&gt;&lt;title&gt;Blood culture collection technique and pneumococcal surveillance in Malawi during the four year period 2003-2006: an observational study&lt;/title&gt;&lt;secondary-title&gt;BMC Infect Dis&lt;/secondary-title&gt;&lt;/titles&gt;&lt;periodical&gt;&lt;full-title&gt;BMC Infect Dis&lt;/full-title&gt;&lt;/periodical&gt;&lt;pages&gt;137&lt;/pages&gt;&lt;volume&gt;8&lt;/volume&gt;&lt;edition&gt;2008/10/16&lt;/edition&gt;&lt;keywords&gt;&lt;keyword&gt;Adult&lt;/keyword&gt;&lt;keyword&gt;Bacteriological Techniques/methods/*standards&lt;/keyword&gt;&lt;keyword&gt;Blood Specimen Collection/methods/*standards&lt;/keyword&gt;&lt;keyword&gt;Hospitals, Public/*organization &amp;amp; administration/standards&lt;/keyword&gt;&lt;keyword&gt;Humans&lt;/keyword&gt;&lt;keyword&gt;Malawi/epidemiology&lt;/keyword&gt;&lt;keyword&gt;Medical Audit&lt;/keyword&gt;&lt;keyword&gt;Nurses&lt;/keyword&gt;&lt;keyword&gt;Pneumococcal Infections/epidemiology&lt;/keyword&gt;&lt;keyword&gt;Population Surveillance&lt;/keyword&gt;&lt;keyword&gt;Prospective Studies&lt;/keyword&gt;&lt;keyword&gt;Streptococcus pneumoniae/*isolation &amp;amp; purification&lt;/keyword&gt;&lt;/keywords&gt;&lt;dates&gt;&lt;year&gt;2008&lt;/year&gt;&lt;/dates&gt;&lt;isbn&gt;1471-2334 (Electronic)&amp;#xD;1471-2334 (Linking)&lt;/isbn&gt;&lt;accession-num&gt;18854024&lt;/accession-num&gt;&lt;urls&gt;&lt;related-urls&gt;&lt;url&gt;http://www.ncbi.nlm.nih.gov/pubmed/18854024&lt;/url&gt;&lt;/related-urls&gt;&lt;/urls&gt;&lt;custom2&gt;2576305&lt;/custom2&gt;&lt;electronic-resource-num&gt;10.1186/1471-2334-8-137&amp;#xD;1471-2334-8-137 [pii]&lt;/electronic-resource-num&gt;&lt;language&gt;eng&lt;/language&gt;&lt;/record&gt;&lt;/Cite&gt;&lt;/EndNote&gt;</w:instrTex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separate"/>
      </w:r>
      <w:r w:rsidR="00CB56E7" w:rsidRPr="00CB56E7">
        <w:rPr>
          <w:rFonts w:ascii="Arial" w:eastAsia="Calibri" w:hAnsi="Arial"/>
          <w:noProof/>
          <w:sz w:val="22"/>
          <w:szCs w:val="22"/>
          <w:lang w:val="en-GB"/>
        </w:rPr>
        <w:t>[</w:t>
      </w:r>
      <w:hyperlink w:anchor="_ENREF_1" w:tooltip="Mtunthama, 2008 #5297" w:history="1">
        <w:r w:rsidR="002246CF" w:rsidRPr="00CB56E7">
          <w:rPr>
            <w:rFonts w:ascii="Arial" w:eastAsia="Calibri" w:hAnsi="Arial"/>
            <w:noProof/>
            <w:sz w:val="22"/>
            <w:szCs w:val="22"/>
            <w:lang w:val="en-GB"/>
          </w:rPr>
          <w:t>1</w:t>
        </w:r>
      </w:hyperlink>
      <w:r w:rsidR="00CB56E7" w:rsidRPr="00CB56E7">
        <w:rPr>
          <w:rFonts w:ascii="Arial" w:eastAsia="Calibri" w:hAnsi="Arial"/>
          <w:noProof/>
          <w:sz w:val="22"/>
          <w:szCs w:val="22"/>
          <w:lang w:val="en-GB"/>
        </w:rPr>
        <w:t>]</w: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end"/>
      </w:r>
      <w:r w:rsidR="008100ED" w:rsidRPr="00CB56E7">
        <w:rPr>
          <w:rFonts w:ascii="Arial" w:eastAsia="Calibri" w:hAnsi="Arial"/>
          <w:sz w:val="22"/>
          <w:szCs w:val="22"/>
          <w:lang w:val="en-GB"/>
        </w:rPr>
        <w:t>.</w:t>
      </w:r>
    </w:p>
    <w:p w:rsidR="008100ED" w:rsidRPr="00CB56E7" w:rsidRDefault="008100ED" w:rsidP="00ED3549">
      <w:pPr>
        <w:spacing w:line="480" w:lineRule="auto"/>
        <w:rPr>
          <w:rFonts w:ascii="Arial" w:eastAsia="Calibri" w:hAnsi="Arial"/>
          <w:sz w:val="22"/>
          <w:szCs w:val="22"/>
          <w:lang w:val="en-GB"/>
        </w:rPr>
      </w:pPr>
    </w:p>
    <w:p w:rsidR="008100ED" w:rsidRPr="00CB56E7" w:rsidRDefault="00ED3549" w:rsidP="00ED3549">
      <w:pPr>
        <w:spacing w:line="480" w:lineRule="auto"/>
        <w:rPr>
          <w:rFonts w:ascii="Arial" w:eastAsia="Calibri" w:hAnsi="Arial"/>
          <w:sz w:val="22"/>
          <w:szCs w:val="22"/>
          <w:lang w:val="en-GB"/>
        </w:rPr>
      </w:pPr>
      <w:r w:rsidRPr="00CB56E7">
        <w:rPr>
          <w:rFonts w:ascii="Arial" w:eastAsia="Calibri" w:hAnsi="Arial"/>
          <w:sz w:val="22"/>
          <w:szCs w:val="22"/>
          <w:lang w:val="en-GB"/>
        </w:rPr>
        <w:t xml:space="preserve"> All isolates were identified using standard diagnostic techniques</w:t>
      </w:r>
      <w:r w:rsidR="004E7DAF" w:rsidRPr="00CB56E7">
        <w:rPr>
          <w:rFonts w:ascii="Arial" w:eastAsia="Calibri" w:hAnsi="Arial"/>
          <w:sz w:val="22"/>
          <w:szCs w:val="22"/>
          <w:lang w:val="en-GB"/>
        </w:rPr>
        <w:t xml:space="preserve"> </w: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begin"/>
      </w:r>
      <w:r w:rsidR="00CB56E7" w:rsidRPr="00CB56E7">
        <w:rPr>
          <w:rFonts w:ascii="Arial" w:eastAsia="Calibri" w:hAnsi="Arial"/>
          <w:sz w:val="22"/>
          <w:szCs w:val="22"/>
          <w:lang w:val="en-GB"/>
        </w:rPr>
        <w:instrText xml:space="preserve"> ADDIN EN.CITE &lt;EndNote&gt;&lt;Cite ExcludeYear="1"&gt;&lt;Author&gt;Barrow G&lt;/Author&gt;&lt;Year&gt;1993&lt;/Year&gt;&lt;RecNum&gt;1487&lt;/RecNum&gt;&lt;DisplayText&gt;[2]&lt;/DisplayText&gt;&lt;record&gt;&lt;rec-number&gt;1487&lt;/rec-number&gt;&lt;foreign-keys&gt;&lt;key app="EN" db-id="x0sftfeaod5pdzeszpc5vvwpt5z5z5dtew0p"&gt;1487&lt;/key&gt;&lt;/foreign-keys&gt;&lt;ref-type name="Book"&gt;6&lt;/ref-type&gt;&lt;contributors&gt;&lt;authors&gt;&lt;author&gt;Barrow G,  Feltham RKA. &lt;/author&gt;&lt;/authors&gt;&lt;/contributors&gt;&lt;titles&gt;&lt;title&gt;Cowan and Steele’s manual for the identification&amp;#xD;of medical bacteria. &lt;/title&gt;&lt;/titles&gt;&lt;dates&gt;&lt;year&gt;1993&lt;/year&gt;&lt;/dates&gt;&lt;pub-location&gt;Cambridge, UK&lt;/pub-location&gt;&lt;publisher&gt;Cambridge University&amp;#xD;Press&lt;/publisher&gt;&lt;urls&gt;&lt;/urls&gt;&lt;/record&gt;&lt;/Cite&gt;&lt;/EndNote&gt;</w:instrTex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separate"/>
      </w:r>
      <w:r w:rsidR="00CB56E7" w:rsidRPr="00CB56E7">
        <w:rPr>
          <w:rFonts w:ascii="Arial" w:eastAsia="Calibri" w:hAnsi="Arial"/>
          <w:noProof/>
          <w:sz w:val="22"/>
          <w:szCs w:val="22"/>
          <w:lang w:val="en-GB"/>
        </w:rPr>
        <w:t>[</w:t>
      </w:r>
      <w:hyperlink w:anchor="_ENREF_2" w:tooltip="Barrow G, 1993 #1487" w:history="1">
        <w:r w:rsidR="002246CF" w:rsidRPr="00CB56E7">
          <w:rPr>
            <w:rFonts w:ascii="Arial" w:eastAsia="Calibri" w:hAnsi="Arial"/>
            <w:noProof/>
            <w:sz w:val="22"/>
            <w:szCs w:val="22"/>
            <w:lang w:val="en-GB"/>
          </w:rPr>
          <w:t>2</w:t>
        </w:r>
      </w:hyperlink>
      <w:r w:rsidR="00CB56E7" w:rsidRPr="00CB56E7">
        <w:rPr>
          <w:rFonts w:ascii="Arial" w:eastAsia="Calibri" w:hAnsi="Arial"/>
          <w:noProof/>
          <w:sz w:val="22"/>
          <w:szCs w:val="22"/>
          <w:lang w:val="en-GB"/>
        </w:rPr>
        <w:t>]</w: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end"/>
      </w:r>
      <w:r w:rsidRPr="00CB56E7">
        <w:rPr>
          <w:rFonts w:ascii="Arial" w:eastAsia="Calibri" w:hAnsi="Arial"/>
          <w:sz w:val="22"/>
          <w:szCs w:val="22"/>
          <w:lang w:val="en-GB"/>
        </w:rPr>
        <w:t>. Coagulase-negative </w:t>
      </w:r>
      <w:r w:rsidRPr="00CB56E7">
        <w:rPr>
          <w:rFonts w:ascii="Arial" w:eastAsia="Calibri" w:hAnsi="Arial"/>
          <w:i/>
          <w:iCs/>
          <w:sz w:val="22"/>
          <w:szCs w:val="22"/>
          <w:lang w:val="en-GB"/>
        </w:rPr>
        <w:t>Staphylococci</w:t>
      </w:r>
      <w:r w:rsidRPr="00CB56E7">
        <w:rPr>
          <w:rFonts w:ascii="Arial" w:eastAsia="Calibri" w:hAnsi="Arial"/>
          <w:sz w:val="22"/>
          <w:szCs w:val="22"/>
          <w:lang w:val="en-GB"/>
        </w:rPr>
        <w:t xml:space="preserve">, bacillus </w:t>
      </w:r>
      <w:proofErr w:type="spellStart"/>
      <w:r w:rsidRPr="00CB56E7">
        <w:rPr>
          <w:rFonts w:ascii="Arial" w:eastAsia="Calibri" w:hAnsi="Arial"/>
          <w:sz w:val="22"/>
          <w:szCs w:val="22"/>
          <w:lang w:val="en-GB"/>
        </w:rPr>
        <w:t>spp</w:t>
      </w:r>
      <w:proofErr w:type="spellEnd"/>
      <w:r w:rsidRPr="00CB56E7">
        <w:rPr>
          <w:rFonts w:ascii="Arial" w:eastAsia="Calibri" w:hAnsi="Arial"/>
          <w:sz w:val="22"/>
          <w:szCs w:val="22"/>
          <w:lang w:val="en-GB"/>
        </w:rPr>
        <w:t>, diptheroids and alpha-haemolytic </w:t>
      </w:r>
      <w:r w:rsidRPr="00CB56E7">
        <w:rPr>
          <w:rFonts w:ascii="Arial" w:eastAsia="Calibri" w:hAnsi="Arial"/>
          <w:i/>
          <w:iCs/>
          <w:sz w:val="22"/>
          <w:szCs w:val="22"/>
          <w:lang w:val="en-GB"/>
        </w:rPr>
        <w:t>Streptococci</w:t>
      </w:r>
      <w:r w:rsidRPr="00CB56E7">
        <w:rPr>
          <w:rFonts w:ascii="Arial" w:eastAsia="Calibri" w:hAnsi="Arial"/>
          <w:sz w:val="22"/>
          <w:szCs w:val="22"/>
          <w:lang w:val="en-GB"/>
        </w:rPr>
        <w:t xml:space="preserve"> other than </w:t>
      </w:r>
      <w:r w:rsidRPr="00CB56E7">
        <w:rPr>
          <w:rFonts w:ascii="Arial" w:eastAsia="Calibri" w:hAnsi="Arial"/>
          <w:i/>
          <w:iCs/>
          <w:sz w:val="22"/>
          <w:szCs w:val="22"/>
          <w:lang w:val="en-GB"/>
        </w:rPr>
        <w:t>S. pneumoniae</w:t>
      </w:r>
      <w:r w:rsidRPr="00CB56E7">
        <w:rPr>
          <w:rFonts w:ascii="Arial" w:eastAsia="Calibri" w:hAnsi="Arial"/>
          <w:iCs/>
          <w:sz w:val="22"/>
          <w:szCs w:val="22"/>
          <w:lang w:val="en-GB"/>
        </w:rPr>
        <w:t xml:space="preserve"> (when there was no clinical suspicion of endocarditis) were considered as contaminants</w:t>
      </w:r>
      <w:r w:rsidRPr="00CB56E7">
        <w:rPr>
          <w:rFonts w:ascii="Arial" w:eastAsia="Calibri" w:hAnsi="Arial"/>
          <w:sz w:val="22"/>
          <w:szCs w:val="22"/>
          <w:lang w:val="en-GB"/>
        </w:rPr>
        <w:t xml:space="preserve">. </w:t>
      </w:r>
      <w:r w:rsidR="008100ED" w:rsidRPr="00CB56E7">
        <w:rPr>
          <w:rFonts w:ascii="Arial" w:eastAsia="Calibri" w:hAnsi="Arial"/>
          <w:sz w:val="22"/>
          <w:szCs w:val="22"/>
          <w:lang w:val="en-GB"/>
        </w:rPr>
        <w:t xml:space="preserve">Anaerobic and mycobacterial culture facilities were not available. </w:t>
      </w:r>
    </w:p>
    <w:p w:rsidR="008100ED" w:rsidRPr="00CB56E7" w:rsidRDefault="008100ED" w:rsidP="00ED3549">
      <w:pPr>
        <w:spacing w:line="480" w:lineRule="auto"/>
        <w:rPr>
          <w:rFonts w:ascii="Arial" w:eastAsia="Calibri" w:hAnsi="Arial"/>
          <w:sz w:val="22"/>
          <w:szCs w:val="22"/>
          <w:lang w:val="en-GB"/>
        </w:rPr>
      </w:pPr>
    </w:p>
    <w:p w:rsidR="00ED3549" w:rsidRDefault="00ED3549" w:rsidP="00ED3549">
      <w:pPr>
        <w:spacing w:line="480" w:lineRule="auto"/>
        <w:rPr>
          <w:rFonts w:ascii="Arial" w:eastAsia="Calibri" w:hAnsi="Arial"/>
          <w:sz w:val="22"/>
          <w:szCs w:val="22"/>
          <w:lang w:val="en-GB"/>
        </w:rPr>
      </w:pPr>
      <w:r w:rsidRPr="00CB56E7">
        <w:rPr>
          <w:rFonts w:ascii="Arial" w:eastAsia="Calibri" w:hAnsi="Arial"/>
          <w:sz w:val="22"/>
          <w:szCs w:val="22"/>
          <w:lang w:val="en-GB"/>
        </w:rPr>
        <w:t>Antimicrobial susceptibility testing was performed by disc diffusion according to British Society of Antimicrobial Chemotherapy standards</w:t>
      </w:r>
      <w:r w:rsidR="008100ED" w:rsidRPr="00CB56E7">
        <w:rPr>
          <w:rFonts w:ascii="Arial" w:eastAsia="Calibri" w:hAnsi="Arial"/>
          <w:sz w:val="22"/>
          <w:szCs w:val="22"/>
          <w:lang w:val="en-GB"/>
        </w:rPr>
        <w:t>, however no minimum inhibitory concentration testing was available</w:t>
      </w:r>
      <w:r w:rsidR="004E7DAF" w:rsidRPr="00CB56E7">
        <w:rPr>
          <w:rFonts w:ascii="Arial" w:eastAsia="Calibri" w:hAnsi="Arial"/>
          <w:sz w:val="22"/>
          <w:szCs w:val="22"/>
          <w:lang w:val="en-GB"/>
        </w:rPr>
        <w:t xml:space="preserve"> </w: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begin"/>
      </w:r>
      <w:r w:rsidR="00CB56E7" w:rsidRPr="00CB56E7">
        <w:rPr>
          <w:rFonts w:ascii="Arial" w:eastAsia="Calibri" w:hAnsi="Arial"/>
          <w:sz w:val="22"/>
          <w:szCs w:val="22"/>
          <w:lang w:val="en-GB"/>
        </w:rPr>
        <w:instrText xml:space="preserve"> ADDIN EN.CITE &lt;EndNote&gt;&lt;Cite ExcludeYear="1"&gt;&lt;Author&gt;BSAC&lt;/Author&gt;&lt;RecNum&gt;4234&lt;/RecNum&gt;&lt;DisplayText&gt;[3]&lt;/DisplayText&gt;&lt;record&gt;&lt;rec-number&gt;4234&lt;/rec-number&gt;&lt;foreign-keys&gt;&lt;key app="EN" db-id="x0sftfeaod5pdzeszpc5vvwpt5z5z5dtew0p"&gt;4234&lt;/key&gt;&lt;/foreign-keys&gt;&lt;ref-type name="Journal Article"&gt;17&lt;/ref-type&gt;&lt;contributors&gt;&lt;authors&gt;&lt;author&gt;BSAC&lt;/author&gt;&lt;/authors&gt;&lt;/contributors&gt;&lt;titles&gt;&lt;title&gt;Methods for Antimicrobial Susceptibility Testing &lt;/title&gt;&lt;secondary-title&gt;Version 8, January 2009&lt;/secondary-title&gt;&lt;/titles&gt;&lt;periodical&gt;&lt;full-title&gt;Version 8, January 2009&lt;/full-title&gt;&lt;/periodical&gt;&lt;volume&gt;British Society for Antimicrobial Chemotherapy&lt;/volume&gt;&lt;dates&gt;&lt;year&gt;2009&lt;/year&gt;&lt;/dates&gt;&lt;urls&gt;&lt;/urls&gt;&lt;/record&gt;&lt;/Cite&gt;&lt;/EndNote&gt;</w:instrTex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separate"/>
      </w:r>
      <w:r w:rsidR="00CB56E7" w:rsidRPr="00CB56E7">
        <w:rPr>
          <w:rFonts w:ascii="Arial" w:eastAsia="Calibri" w:hAnsi="Arial"/>
          <w:noProof/>
          <w:sz w:val="22"/>
          <w:szCs w:val="22"/>
          <w:lang w:val="en-GB"/>
        </w:rPr>
        <w:t>[</w:t>
      </w:r>
      <w:hyperlink w:anchor="_ENREF_3" w:tooltip="BSAC, 2009 #4234" w:history="1">
        <w:r w:rsidR="002246CF" w:rsidRPr="00CB56E7">
          <w:rPr>
            <w:rFonts w:ascii="Arial" w:eastAsia="Calibri" w:hAnsi="Arial"/>
            <w:noProof/>
            <w:sz w:val="22"/>
            <w:szCs w:val="22"/>
            <w:lang w:val="en-GB"/>
          </w:rPr>
          <w:t>3</w:t>
        </w:r>
      </w:hyperlink>
      <w:r w:rsidR="00CB56E7" w:rsidRPr="00CB56E7">
        <w:rPr>
          <w:rFonts w:ascii="Arial" w:eastAsia="Calibri" w:hAnsi="Arial"/>
          <w:noProof/>
          <w:sz w:val="22"/>
          <w:szCs w:val="22"/>
          <w:lang w:val="en-GB"/>
        </w:rPr>
        <w:t>]</w: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end"/>
      </w:r>
      <w:r w:rsidR="00407110" w:rsidRPr="00CB56E7">
        <w:rPr>
          <w:rFonts w:ascii="Arial" w:eastAsia="Calibri" w:hAnsi="Arial"/>
          <w:sz w:val="22"/>
          <w:szCs w:val="22"/>
          <w:lang w:val="en-GB"/>
        </w:rPr>
        <w:t>.</w:t>
      </w:r>
      <w:r w:rsidRPr="00CB56E7">
        <w:rPr>
          <w:rFonts w:ascii="Arial" w:eastAsia="Calibri" w:hAnsi="Arial"/>
          <w:sz w:val="22"/>
          <w:szCs w:val="22"/>
          <w:lang w:val="en-GB"/>
        </w:rPr>
        <w:t xml:space="preserve"> Penicillin resistance in </w:t>
      </w:r>
      <w:r w:rsidRPr="00CB56E7">
        <w:rPr>
          <w:rFonts w:ascii="Arial" w:eastAsia="Calibri" w:hAnsi="Arial"/>
          <w:i/>
          <w:iCs/>
          <w:sz w:val="22"/>
          <w:szCs w:val="22"/>
          <w:lang w:val="en-GB"/>
        </w:rPr>
        <w:t>S. pneumoniae</w:t>
      </w:r>
      <w:r w:rsidRPr="00CB56E7">
        <w:rPr>
          <w:rFonts w:ascii="Arial" w:eastAsia="Calibri" w:hAnsi="Arial"/>
          <w:iCs/>
          <w:sz w:val="22"/>
          <w:szCs w:val="22"/>
          <w:lang w:val="en-GB"/>
        </w:rPr>
        <w:t xml:space="preserve"> </w:t>
      </w:r>
      <w:r w:rsidRPr="00CB56E7">
        <w:rPr>
          <w:rFonts w:ascii="Arial" w:eastAsia="Calibri" w:hAnsi="Arial"/>
          <w:sz w:val="22"/>
          <w:szCs w:val="22"/>
          <w:lang w:val="en-GB"/>
        </w:rPr>
        <w:t xml:space="preserve">was defined as a zone size of </w:t>
      </w:r>
      <w:r w:rsidRPr="00CB56E7">
        <w:rPr>
          <w:rFonts w:ascii="Arial" w:eastAsia="Calibri" w:hAnsi="Arial" w:cs="Arial"/>
          <w:sz w:val="22"/>
          <w:szCs w:val="22"/>
          <w:lang w:val="en-GB"/>
        </w:rPr>
        <w:t>≤</w:t>
      </w:r>
      <w:r w:rsidRPr="00CB56E7">
        <w:rPr>
          <w:rFonts w:ascii="Arial" w:eastAsia="Calibri" w:hAnsi="Arial"/>
          <w:sz w:val="22"/>
          <w:szCs w:val="22"/>
          <w:lang w:val="en-GB"/>
        </w:rPr>
        <w:t>19mm against a 1</w:t>
      </w:r>
      <w:r w:rsidRPr="00CB56E7">
        <w:rPr>
          <w:rFonts w:ascii="Arial" w:eastAsia="Calibri" w:hAnsi="Arial" w:cs="Arial"/>
          <w:sz w:val="22"/>
          <w:szCs w:val="22"/>
          <w:lang w:val="en-GB"/>
        </w:rPr>
        <w:t>µ</w:t>
      </w:r>
      <w:r w:rsidRPr="00CB56E7">
        <w:rPr>
          <w:rFonts w:ascii="Arial" w:eastAsia="Calibri" w:hAnsi="Arial"/>
          <w:sz w:val="22"/>
          <w:szCs w:val="22"/>
          <w:lang w:val="en-GB"/>
        </w:rPr>
        <w:t xml:space="preserve">g oxacillin disc on </w:t>
      </w:r>
      <w:proofErr w:type="spellStart"/>
      <w:r w:rsidRPr="00CB56E7">
        <w:rPr>
          <w:rFonts w:ascii="Arial" w:eastAsia="Calibri" w:hAnsi="Arial"/>
          <w:sz w:val="22"/>
          <w:szCs w:val="22"/>
          <w:lang w:val="en-GB"/>
        </w:rPr>
        <w:t>iso-sensitest</w:t>
      </w:r>
      <w:proofErr w:type="spellEnd"/>
      <w:r w:rsidRPr="00CB56E7">
        <w:rPr>
          <w:rFonts w:ascii="Arial" w:eastAsia="Calibri" w:hAnsi="Arial"/>
          <w:sz w:val="22"/>
          <w:szCs w:val="22"/>
          <w:lang w:val="en-GB"/>
        </w:rPr>
        <w:t xml:space="preserve"> agar supplemented with 5% sheep blood incubated overnight in 5% CO</w:t>
      </w:r>
      <w:r w:rsidRPr="00CB56E7">
        <w:rPr>
          <w:rFonts w:ascii="Arial" w:eastAsia="Calibri" w:hAnsi="Arial"/>
          <w:sz w:val="22"/>
          <w:szCs w:val="22"/>
          <w:vertAlign w:val="subscript"/>
          <w:lang w:val="en-GB"/>
        </w:rPr>
        <w:t>2</w:t>
      </w:r>
      <w:r w:rsidRPr="00CB56E7">
        <w:rPr>
          <w:rFonts w:ascii="Arial" w:eastAsia="Calibri" w:hAnsi="Arial"/>
          <w:sz w:val="22"/>
          <w:szCs w:val="22"/>
          <w:lang w:val="en-GB"/>
        </w:rPr>
        <w:t>. External Quality Assurance was monitored by subscription to the appropriate United Kingdom National External Quality Assessment Service (UK NEQAS) schemes.</w:t>
      </w:r>
      <w:r w:rsidR="00D62E51">
        <w:rPr>
          <w:rFonts w:ascii="Arial" w:eastAsia="Calibri" w:hAnsi="Arial"/>
          <w:sz w:val="22"/>
          <w:szCs w:val="22"/>
          <w:lang w:val="en-GB"/>
        </w:rPr>
        <w:t xml:space="preserve"> The antimicrobials which each organism was tested against during the study period are listed in Table 1</w:t>
      </w:r>
      <w:r w:rsidR="00F641A3">
        <w:rPr>
          <w:rFonts w:ascii="Arial" w:eastAsia="Calibri" w:hAnsi="Arial"/>
          <w:sz w:val="22"/>
          <w:szCs w:val="22"/>
          <w:lang w:val="en-GB"/>
        </w:rPr>
        <w:t>.</w:t>
      </w:r>
    </w:p>
    <w:p w:rsidR="00D62E51" w:rsidRDefault="00D62E51" w:rsidP="00ED3549">
      <w:pPr>
        <w:spacing w:line="480" w:lineRule="auto"/>
        <w:rPr>
          <w:rFonts w:ascii="Arial" w:eastAsia="Calibri" w:hAnsi="Arial"/>
          <w:sz w:val="22"/>
          <w:szCs w:val="22"/>
          <w:lang w:val="en-GB"/>
        </w:rPr>
      </w:pPr>
    </w:p>
    <w:p w:rsidR="00D62E51" w:rsidRPr="00CB56E7" w:rsidRDefault="00D62E51" w:rsidP="00D62E51">
      <w:pPr>
        <w:spacing w:after="200" w:line="480" w:lineRule="auto"/>
        <w:rPr>
          <w:rFonts w:ascii="Arial" w:eastAsia="Calibri" w:hAnsi="Arial"/>
          <w:sz w:val="22"/>
          <w:szCs w:val="22"/>
          <w:lang w:val="en-GB"/>
        </w:rPr>
      </w:pPr>
      <w:r w:rsidRPr="00CB56E7">
        <w:rPr>
          <w:rFonts w:ascii="Arial" w:eastAsia="Calibri" w:hAnsi="Arial"/>
          <w:sz w:val="22"/>
          <w:szCs w:val="22"/>
          <w:lang w:val="en-GB"/>
        </w:rPr>
        <w:t xml:space="preserve">A </w:t>
      </w:r>
      <w:r w:rsidRPr="00CB56E7">
        <w:rPr>
          <w:rFonts w:ascii="Arial" w:eastAsia="Calibri" w:hAnsi="Arial"/>
          <w:sz w:val="22"/>
          <w:szCs w:val="22"/>
        </w:rPr>
        <w:t xml:space="preserve">thick blood film was examined for Plasmodium parasites. </w:t>
      </w:r>
      <w:r w:rsidRPr="00CB56E7">
        <w:rPr>
          <w:rFonts w:ascii="Arial" w:eastAsia="Calibri" w:hAnsi="Arial"/>
          <w:sz w:val="22"/>
          <w:szCs w:val="22"/>
          <w:lang w:val="en-GB"/>
        </w:rPr>
        <w:t xml:space="preserve">HIV testing was performed according to the national HIV rapid antibody testing protocol, using </w:t>
      </w:r>
      <w:proofErr w:type="spellStart"/>
      <w:r w:rsidRPr="00CB56E7">
        <w:rPr>
          <w:rFonts w:ascii="Arial" w:eastAsia="Calibri" w:hAnsi="Arial"/>
          <w:sz w:val="22"/>
          <w:szCs w:val="22"/>
          <w:lang w:val="en-GB"/>
        </w:rPr>
        <w:t>Determine</w:t>
      </w:r>
      <w:r w:rsidRPr="00CB56E7">
        <w:rPr>
          <w:rFonts w:ascii="Arial" w:eastAsia="Calibri" w:hAnsi="Arial"/>
          <w:sz w:val="22"/>
          <w:szCs w:val="22"/>
          <w:vertAlign w:val="superscript"/>
          <w:lang w:val="en-GB"/>
        </w:rPr>
        <w:t>TM</w:t>
      </w:r>
      <w:proofErr w:type="spellEnd"/>
      <w:r w:rsidRPr="00CB56E7">
        <w:rPr>
          <w:rFonts w:ascii="Arial" w:eastAsia="Calibri" w:hAnsi="Arial"/>
          <w:sz w:val="22"/>
          <w:szCs w:val="22"/>
          <w:lang w:val="en-GB"/>
        </w:rPr>
        <w:t xml:space="preserve"> HIV-1/2 tests as the first test in a serial testing algorithm. All positive test results were confirmed by </w:t>
      </w:r>
      <w:proofErr w:type="spellStart"/>
      <w:r w:rsidRPr="00CB56E7">
        <w:rPr>
          <w:rFonts w:ascii="Arial" w:eastAsia="Calibri" w:hAnsi="Arial"/>
          <w:sz w:val="22"/>
          <w:szCs w:val="22"/>
          <w:lang w:val="en-GB"/>
        </w:rPr>
        <w:t>Uni-Gold</w:t>
      </w:r>
      <w:r w:rsidRPr="00CB56E7">
        <w:rPr>
          <w:rFonts w:ascii="Arial" w:eastAsia="Calibri" w:hAnsi="Arial"/>
          <w:sz w:val="22"/>
          <w:szCs w:val="22"/>
          <w:vertAlign w:val="superscript"/>
          <w:lang w:val="en-GB"/>
        </w:rPr>
        <w:t>TM</w:t>
      </w:r>
      <w:proofErr w:type="spellEnd"/>
      <w:r w:rsidRPr="00CB56E7">
        <w:rPr>
          <w:rFonts w:ascii="Arial" w:eastAsia="Calibri" w:hAnsi="Arial"/>
          <w:sz w:val="22"/>
          <w:szCs w:val="22"/>
          <w:lang w:val="en-GB"/>
        </w:rPr>
        <w:t>. Full blood count was tested by one of three machines (</w:t>
      </w:r>
      <w:r w:rsidRPr="00CB56E7">
        <w:rPr>
          <w:rFonts w:ascii="Arial" w:eastAsia="Calibri" w:hAnsi="Arial"/>
          <w:sz w:val="22"/>
          <w:szCs w:val="22"/>
        </w:rPr>
        <w:t xml:space="preserve">SYSMEX KX-21N, ABX MICROS 60, Beckman Coulter Ac-T 5diff CP). </w:t>
      </w:r>
      <w:r w:rsidRPr="00CB56E7">
        <w:rPr>
          <w:rFonts w:ascii="Arial" w:eastAsia="Calibri" w:hAnsi="Arial"/>
          <w:sz w:val="22"/>
          <w:szCs w:val="22"/>
          <w:lang w:val="en-GB"/>
        </w:rPr>
        <w:t>Haemoglobin (</w:t>
      </w:r>
      <w:proofErr w:type="spellStart"/>
      <w:r w:rsidRPr="00CB56E7">
        <w:rPr>
          <w:rFonts w:ascii="Arial" w:eastAsia="Calibri" w:hAnsi="Arial"/>
          <w:sz w:val="22"/>
          <w:szCs w:val="22"/>
          <w:lang w:val="en-GB"/>
        </w:rPr>
        <w:t>Hb</w:t>
      </w:r>
      <w:proofErr w:type="spellEnd"/>
      <w:r w:rsidRPr="00CB56E7">
        <w:rPr>
          <w:rFonts w:ascii="Arial" w:eastAsia="Calibri" w:hAnsi="Arial"/>
          <w:sz w:val="22"/>
          <w:szCs w:val="22"/>
          <w:lang w:val="en-GB"/>
        </w:rPr>
        <w:t xml:space="preserve">) levels were </w:t>
      </w:r>
      <w:r w:rsidRPr="00CB56E7">
        <w:rPr>
          <w:rFonts w:ascii="Arial" w:eastAsia="Calibri" w:hAnsi="Arial"/>
          <w:sz w:val="22"/>
          <w:szCs w:val="22"/>
        </w:rPr>
        <w:t>classified following</w:t>
      </w:r>
      <w:r w:rsidRPr="00CB56E7">
        <w:rPr>
          <w:rFonts w:ascii="Arial" w:eastAsia="Calibri" w:hAnsi="Arial"/>
          <w:sz w:val="22"/>
          <w:szCs w:val="22"/>
          <w:lang w:val="en-GB"/>
        </w:rPr>
        <w:t xml:space="preserve"> WHO recommendations (anaemia: &lt;13.0 g/dl in men or &lt;12.0 g/dl in women; severe anaemia: </w:t>
      </w:r>
      <w:proofErr w:type="spellStart"/>
      <w:r w:rsidRPr="00CB56E7">
        <w:rPr>
          <w:rFonts w:ascii="Arial" w:eastAsia="Calibri" w:hAnsi="Arial"/>
          <w:sz w:val="22"/>
          <w:szCs w:val="22"/>
          <w:lang w:val="en-GB"/>
        </w:rPr>
        <w:t>Hb</w:t>
      </w:r>
      <w:proofErr w:type="spellEnd"/>
      <w:r w:rsidRPr="00CB56E7">
        <w:rPr>
          <w:rFonts w:ascii="Arial" w:eastAsia="Calibri" w:hAnsi="Arial"/>
          <w:sz w:val="22"/>
          <w:szCs w:val="22"/>
          <w:lang w:val="en-GB"/>
        </w:rPr>
        <w:t xml:space="preserve"> &lt;8.0g/dl in men and women)</w: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begin"/>
      </w:r>
      <w:r w:rsidRPr="00CB56E7">
        <w:rPr>
          <w:rFonts w:ascii="Arial" w:eastAsia="Calibri" w:hAnsi="Arial"/>
          <w:sz w:val="22"/>
          <w:szCs w:val="22"/>
          <w:lang w:val="en-GB"/>
        </w:rPr>
        <w:instrText xml:space="preserve"> ADDIN EN.CITE &lt;EndNote&gt;&lt;Cite ExcludeYear="1"&gt;&lt;Author&gt;WHO&lt;/Author&gt;&lt;Year&gt;2011&lt;/Year&gt;&lt;RecNum&gt;4919&lt;/RecNum&gt;&lt;DisplayText&gt;[4]&lt;/DisplayText&gt;&lt;record&gt;&lt;rec-number&gt;4919&lt;/rec-number&gt;&lt;foreign-keys&gt;&lt;key app="EN" db-id="x0sftfeaod5pdzeszpc5vvwpt5z5z5dtew0p"&gt;4919&lt;/key&gt;&lt;/foreign-keys&gt;&lt;ref-type name="Journal Article"&gt;17&lt;/ref-type&gt;&lt;contributors&gt;&lt;authors&gt;&lt;author&gt;WHO&lt;/author&gt;&lt;/authors&gt;&lt;/contributors&gt;&lt;titles&gt;&lt;title&gt;Haemoglobin concentrations for the diagnosis of anaemia and assemssment of severity &lt;/title&gt;&lt;secondary-title&gt;Vitamin and Mineral Nutrition Information System. &lt;/secondary-title&gt;&lt;/titles&gt;&lt;periodical&gt;&lt;full-title&gt;Vitamin and Mineral Nutrition Information System.&lt;/full-title&gt;&lt;/periodical&gt;&lt;volume&gt;WHO/NMH/MNM/11.1&lt;/volume&gt;&lt;dates&gt;&lt;year&gt;2011&lt;/year&gt;&lt;/dates&gt;&lt;urls&gt;&lt;related-urls&gt;&lt;url&gt;http://www.who.int/vmnis/indicators/haemoglobin.&lt;/url&gt;&lt;/related-urls&gt;&lt;/urls&gt;&lt;/record&gt;&lt;/Cite&gt;&lt;/EndNote&gt;</w:instrTex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separate"/>
      </w:r>
      <w:r w:rsidRPr="00CB56E7">
        <w:rPr>
          <w:rFonts w:ascii="Arial" w:eastAsia="Calibri" w:hAnsi="Arial"/>
          <w:noProof/>
          <w:sz w:val="22"/>
          <w:szCs w:val="22"/>
          <w:lang w:val="en-GB"/>
        </w:rPr>
        <w:t>[</w:t>
      </w:r>
      <w:hyperlink w:anchor="_ENREF_4" w:tooltip="WHO, 2011 #4919" w:history="1">
        <w:r w:rsidRPr="00CB56E7">
          <w:rPr>
            <w:rFonts w:ascii="Arial" w:eastAsia="Calibri" w:hAnsi="Arial"/>
            <w:noProof/>
            <w:sz w:val="22"/>
            <w:szCs w:val="22"/>
            <w:lang w:val="en-GB"/>
          </w:rPr>
          <w:t>4</w:t>
        </w:r>
      </w:hyperlink>
      <w:r w:rsidRPr="00CB56E7">
        <w:rPr>
          <w:rFonts w:ascii="Arial" w:eastAsia="Calibri" w:hAnsi="Arial"/>
          <w:noProof/>
          <w:sz w:val="22"/>
          <w:szCs w:val="22"/>
          <w:lang w:val="en-GB"/>
        </w:rPr>
        <w:t>]</w: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end"/>
      </w:r>
      <w:r w:rsidRPr="00CB56E7">
        <w:rPr>
          <w:rFonts w:ascii="Arial" w:eastAsia="Calibri" w:hAnsi="Arial"/>
          <w:sz w:val="22"/>
          <w:szCs w:val="22"/>
          <w:lang w:val="en-GB"/>
        </w:rPr>
        <w:t>. CD4 count was performed on a Beckman Coulter EPICS, but not routinely checked during the study period.</w:t>
      </w:r>
    </w:p>
    <w:p w:rsidR="002246CF" w:rsidRPr="002246CF" w:rsidRDefault="002246CF" w:rsidP="002246CF">
      <w:pPr>
        <w:pStyle w:val="Caption"/>
        <w:keepNext/>
        <w:rPr>
          <w:rFonts w:ascii="Arial" w:hAnsi="Arial" w:cs="Arial"/>
          <w:b w:val="0"/>
          <w:color w:val="auto"/>
          <w:sz w:val="22"/>
          <w:szCs w:val="22"/>
        </w:rPr>
      </w:pPr>
      <w:proofErr w:type="gramStart"/>
      <w:r w:rsidRPr="00593B68">
        <w:rPr>
          <w:rFonts w:ascii="Arial" w:hAnsi="Arial" w:cs="Arial"/>
          <w:color w:val="auto"/>
          <w:sz w:val="22"/>
          <w:szCs w:val="22"/>
        </w:rPr>
        <w:lastRenderedPageBreak/>
        <w:t xml:space="preserve">Table </w:t>
      </w:r>
      <w:r w:rsidR="001D6B8A" w:rsidRPr="00593B68">
        <w:rPr>
          <w:rFonts w:ascii="Arial" w:hAnsi="Arial" w:cs="Arial"/>
          <w:color w:val="auto"/>
          <w:sz w:val="22"/>
          <w:szCs w:val="22"/>
        </w:rPr>
        <w:fldChar w:fldCharType="begin"/>
      </w:r>
      <w:r w:rsidRPr="00593B68">
        <w:rPr>
          <w:rFonts w:ascii="Arial" w:hAnsi="Arial" w:cs="Arial"/>
          <w:color w:val="auto"/>
          <w:sz w:val="22"/>
          <w:szCs w:val="22"/>
        </w:rPr>
        <w:instrText xml:space="preserve"> SEQ Table \* ARABIC </w:instrText>
      </w:r>
      <w:r w:rsidR="001D6B8A" w:rsidRPr="00593B6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93B68">
        <w:rPr>
          <w:rFonts w:ascii="Arial" w:hAnsi="Arial" w:cs="Arial"/>
          <w:noProof/>
          <w:color w:val="auto"/>
          <w:sz w:val="22"/>
          <w:szCs w:val="22"/>
        </w:rPr>
        <w:t>1</w:t>
      </w:r>
      <w:r w:rsidR="001D6B8A" w:rsidRPr="00593B68">
        <w:rPr>
          <w:rFonts w:ascii="Arial" w:hAnsi="Arial" w:cs="Arial"/>
          <w:color w:val="auto"/>
          <w:sz w:val="22"/>
          <w:szCs w:val="22"/>
        </w:rPr>
        <w:fldChar w:fldCharType="end"/>
      </w:r>
      <w:r w:rsidRPr="00593B68">
        <w:rPr>
          <w:rFonts w:ascii="Arial" w:hAnsi="Arial" w:cs="Arial"/>
          <w:color w:val="auto"/>
          <w:sz w:val="22"/>
          <w:szCs w:val="22"/>
        </w:rPr>
        <w:t>: Table of antimicrobial discs used in susceptibility testing</w:t>
      </w:r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Shaded box indicates susceptibility testing is performed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67"/>
        <w:gridCol w:w="567"/>
        <w:gridCol w:w="567"/>
        <w:gridCol w:w="567"/>
        <w:gridCol w:w="567"/>
        <w:gridCol w:w="567"/>
      </w:tblGrid>
      <w:tr w:rsidR="00BD5BCD" w:rsidRPr="00593B68" w:rsidTr="00ED0E6E">
        <w:trPr>
          <w:trHeight w:val="2277"/>
        </w:trPr>
        <w:tc>
          <w:tcPr>
            <w:tcW w:w="0" w:type="auto"/>
            <w:tcBorders>
              <w:bottom w:val="single" w:sz="4" w:space="0" w:color="auto"/>
            </w:tcBorders>
          </w:tcPr>
          <w:p w:rsidR="00BD5BCD" w:rsidRPr="00593B68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BD5BCD" w:rsidRPr="00593B68" w:rsidRDefault="00BD5BCD" w:rsidP="00853B57">
            <w:pPr>
              <w:ind w:left="113" w:right="113"/>
              <w:rPr>
                <w:rFonts w:ascii="Arial" w:hAnsi="Arial" w:cs="Arial"/>
              </w:rPr>
            </w:pPr>
            <w:r w:rsidRPr="00593B68">
              <w:rPr>
                <w:rFonts w:ascii="Arial" w:hAnsi="Arial" w:cs="Arial"/>
              </w:rPr>
              <w:t>Enterobacteriaceae</w:t>
            </w:r>
          </w:p>
          <w:p w:rsidR="00BD5BCD" w:rsidRPr="00593B68" w:rsidRDefault="00BD5BCD" w:rsidP="00853B5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BD5BCD" w:rsidRPr="00593B68" w:rsidRDefault="00BD5BCD" w:rsidP="002246C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Pseudomonas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BD5BCD" w:rsidRPr="00593B68" w:rsidRDefault="00BD5BCD" w:rsidP="00853B57">
            <w:pPr>
              <w:ind w:left="113" w:right="113"/>
              <w:rPr>
                <w:rFonts w:ascii="Arial" w:hAnsi="Arial" w:cs="Arial"/>
              </w:rPr>
            </w:pPr>
            <w:r w:rsidRPr="00593B68">
              <w:rPr>
                <w:rFonts w:ascii="Arial" w:hAnsi="Arial" w:cs="Arial"/>
              </w:rPr>
              <w:t>S. pneumoniae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BD5BCD" w:rsidRPr="00593B68" w:rsidRDefault="00BD5BCD" w:rsidP="002246C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</w:t>
            </w:r>
            <w:r w:rsidRPr="00593B68">
              <w:rPr>
                <w:rFonts w:ascii="Arial" w:hAnsi="Arial" w:cs="Arial"/>
              </w:rPr>
              <w:t xml:space="preserve"> aureus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BD5BCD" w:rsidRDefault="00BD5BCD" w:rsidP="002246CF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Streptococci</w:t>
            </w:r>
          </w:p>
        </w:tc>
      </w:tr>
      <w:tr w:rsidR="00BD5BCD" w:rsidRPr="00593B68" w:rsidTr="00ED0E6E"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  <w:r w:rsidRPr="002246CF">
              <w:rPr>
                <w:rFonts w:ascii="Arial" w:hAnsi="Arial" w:cs="Arial"/>
              </w:rPr>
              <w:t>Amoxicillin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</w:tr>
      <w:tr w:rsidR="00BD5BCD" w:rsidRPr="00593B68" w:rsidTr="00ED0E6E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  <w:r w:rsidRPr="002246CF">
              <w:rPr>
                <w:rFonts w:ascii="Arial" w:hAnsi="Arial" w:cs="Arial"/>
              </w:rPr>
              <w:t>Chloramphenicol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</w:tr>
      <w:tr w:rsidR="00BD5BCD" w:rsidRPr="00593B68" w:rsidTr="00ED0E6E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  <w:r w:rsidRPr="002246CF">
              <w:rPr>
                <w:rFonts w:ascii="Arial" w:hAnsi="Arial" w:cs="Arial"/>
              </w:rPr>
              <w:t>Cotrimoxazole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</w:tr>
      <w:tr w:rsidR="00BD5BCD" w:rsidRPr="00593B68" w:rsidTr="00ED0E6E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  <w:proofErr w:type="spellStart"/>
            <w:r w:rsidRPr="002246CF">
              <w:rPr>
                <w:rFonts w:ascii="Arial" w:hAnsi="Arial" w:cs="Arial"/>
              </w:rPr>
              <w:t>Gentamicin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</w:tr>
      <w:tr w:rsidR="00BD5BCD" w:rsidRPr="00593B68" w:rsidTr="00ED0E6E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  <w:r w:rsidRPr="002246CF">
              <w:rPr>
                <w:rFonts w:ascii="Arial" w:hAnsi="Arial" w:cs="Arial"/>
              </w:rPr>
              <w:t>Ciprofloxacin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</w:tr>
      <w:tr w:rsidR="00BD5BCD" w:rsidRPr="00593B68" w:rsidTr="00ED0E6E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  <w:r w:rsidRPr="002246CF">
              <w:rPr>
                <w:rFonts w:ascii="Arial" w:hAnsi="Arial" w:cs="Arial"/>
              </w:rPr>
              <w:t>Ceftriaxone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  <w:color w:val="FFFFFF" w:themeColor="background1"/>
              </w:rPr>
            </w:pPr>
            <w:r w:rsidRPr="002246CF">
              <w:rPr>
                <w:rFonts w:ascii="Arial" w:hAnsi="Arial" w:cs="Arial"/>
                <w:color w:val="FFFFFF" w:themeColor="background1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</w:tr>
      <w:tr w:rsidR="00BD5BCD" w:rsidRPr="00593B68" w:rsidTr="00ED0E6E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BD5BCD" w:rsidRPr="002246CF" w:rsidRDefault="00BD5BCD" w:rsidP="00224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Oxacill</w:t>
            </w:r>
            <w:r w:rsidRPr="002246CF">
              <w:rPr>
                <w:rFonts w:ascii="Arial" w:hAnsi="Arial" w:cs="Arial"/>
              </w:rPr>
              <w:t>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</w:tr>
      <w:tr w:rsidR="00BD5BCD" w:rsidRPr="00593B68" w:rsidTr="00BD5BC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  <w:r w:rsidRPr="002246CF">
              <w:rPr>
                <w:rFonts w:ascii="Arial" w:hAnsi="Arial" w:cs="Arial"/>
              </w:rPr>
              <w:t>Tetracycline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</w:tr>
      <w:tr w:rsidR="00BD5BCD" w:rsidRPr="00593B68" w:rsidTr="00BD5BC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  <w:r w:rsidRPr="002246CF">
              <w:rPr>
                <w:rFonts w:ascii="Arial" w:hAnsi="Arial" w:cs="Arial"/>
              </w:rPr>
              <w:t>Methicillin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</w:tr>
      <w:tr w:rsidR="00BD5BCD" w:rsidRPr="00593B68" w:rsidTr="00BD5BC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Erythromycin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</w:tr>
      <w:tr w:rsidR="00BD5BCD" w:rsidRPr="00593B68" w:rsidTr="00BD5BCD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BD5BCD" w:rsidRDefault="00BD5BCD" w:rsidP="0085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Penicillin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75" w:color="auto" w:fill="auto"/>
          </w:tcPr>
          <w:p w:rsidR="00BD5BCD" w:rsidRPr="002246CF" w:rsidRDefault="00BD5BCD" w:rsidP="00853B57">
            <w:pPr>
              <w:rPr>
                <w:rFonts w:ascii="Arial" w:hAnsi="Arial" w:cs="Arial"/>
              </w:rPr>
            </w:pPr>
          </w:p>
        </w:tc>
      </w:tr>
    </w:tbl>
    <w:p w:rsidR="002246CF" w:rsidRPr="00593B68" w:rsidRDefault="002246CF" w:rsidP="002246CF">
      <w:pPr>
        <w:pStyle w:val="Caption"/>
        <w:rPr>
          <w:rFonts w:ascii="Arial" w:hAnsi="Arial" w:cs="Arial"/>
          <w:b w:val="0"/>
          <w:color w:val="auto"/>
          <w:sz w:val="22"/>
          <w:szCs w:val="22"/>
        </w:rPr>
      </w:pPr>
      <w:r w:rsidRPr="00593B68">
        <w:rPr>
          <w:rFonts w:ascii="Arial" w:hAnsi="Arial" w:cs="Arial"/>
          <w:b w:val="0"/>
          <w:color w:val="auto"/>
          <w:sz w:val="22"/>
          <w:szCs w:val="22"/>
        </w:rPr>
        <w:t xml:space="preserve">* If resistant, then ESBL-producing status confirmed as per BSAC guidelines </w:t>
      </w:r>
      <w:r w:rsidR="001D6B8A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>
        <w:rPr>
          <w:rFonts w:ascii="Arial" w:hAnsi="Arial" w:cs="Arial"/>
          <w:b w:val="0"/>
          <w:color w:val="auto"/>
          <w:sz w:val="22"/>
          <w:szCs w:val="22"/>
        </w:rPr>
        <w:instrText xml:space="preserve"> ADDIN EN.CITE &lt;EndNote&gt;&lt;Cite ExcludeYear="1"&gt;&lt;Author&gt;BSAC&lt;/Author&gt;&lt;RecNum&gt;4234&lt;/RecNum&gt;&lt;DisplayText&gt;[3]&lt;/DisplayText&gt;&lt;record&gt;&lt;rec-number&gt;4234&lt;/rec-number&gt;&lt;foreign-keys&gt;&lt;key app="EN" db-id="x0sftfeaod5pdzeszpc5vvwpt5z5z5dtew0p"&gt;4234&lt;/key&gt;&lt;/foreign-keys&gt;&lt;ref-type name="Journal Article"&gt;17&lt;/ref-type&gt;&lt;contributors&gt;&lt;authors&gt;&lt;author&gt;BSAC&lt;/author&gt;&lt;/authors&gt;&lt;/contributors&gt;&lt;titles&gt;&lt;title&gt;Methods for Antimicrobial Susceptibility Testing &lt;/title&gt;&lt;secondary-title&gt;Version 8, January 2009&lt;/secondary-title&gt;&lt;/titles&gt;&lt;periodical&gt;&lt;full-title&gt;Version 8, January 2009&lt;/full-title&gt;&lt;/periodical&gt;&lt;volume&gt;British Society for Antimicrobial Chemotherapy&lt;/volume&gt;&lt;dates&gt;&lt;year&gt;2009&lt;/year&gt;&lt;/dates&gt;&lt;urls&gt;&lt;/urls&gt;&lt;/record&gt;&lt;/Cite&gt;&lt;/EndNote&gt;</w:instrText>
      </w:r>
      <w:r w:rsidR="001D6B8A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color w:val="auto"/>
          <w:sz w:val="22"/>
          <w:szCs w:val="22"/>
        </w:rPr>
        <w:t>[</w:t>
      </w:r>
      <w:hyperlink w:anchor="_ENREF_3" w:tooltip="BSAC, 2009 #4234" w:history="1">
        <w:r>
          <w:rPr>
            <w:rFonts w:ascii="Arial" w:hAnsi="Arial" w:cs="Arial"/>
            <w:b w:val="0"/>
            <w:noProof/>
            <w:color w:val="auto"/>
            <w:sz w:val="22"/>
            <w:szCs w:val="22"/>
          </w:rPr>
          <w:t>3</w:t>
        </w:r>
      </w:hyperlink>
      <w:r>
        <w:rPr>
          <w:rFonts w:ascii="Arial" w:hAnsi="Arial" w:cs="Arial"/>
          <w:b w:val="0"/>
          <w:noProof/>
          <w:color w:val="auto"/>
          <w:sz w:val="22"/>
          <w:szCs w:val="22"/>
        </w:rPr>
        <w:t>]</w:t>
      </w:r>
      <w:r w:rsidR="001D6B8A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</w:p>
    <w:p w:rsidR="00ED3549" w:rsidRPr="00CB56E7" w:rsidRDefault="00ED3549" w:rsidP="00ED3549">
      <w:pPr>
        <w:spacing w:line="480" w:lineRule="auto"/>
        <w:rPr>
          <w:rFonts w:ascii="Arial" w:eastAsia="Calibri" w:hAnsi="Arial"/>
          <w:sz w:val="22"/>
          <w:szCs w:val="22"/>
          <w:lang w:val="en-GB"/>
        </w:rPr>
      </w:pPr>
    </w:p>
    <w:p w:rsidR="0056762D" w:rsidRPr="00CB56E7" w:rsidRDefault="0056762D" w:rsidP="00ED3549">
      <w:pPr>
        <w:spacing w:after="200" w:line="480" w:lineRule="auto"/>
        <w:rPr>
          <w:rFonts w:ascii="Arial" w:eastAsia="Calibri" w:hAnsi="Arial"/>
          <w:sz w:val="22"/>
          <w:szCs w:val="22"/>
          <w:lang w:val="en-GB"/>
        </w:rPr>
      </w:pPr>
    </w:p>
    <w:p w:rsidR="0056762D" w:rsidRPr="00CB56E7" w:rsidRDefault="0056762D" w:rsidP="00ED3549">
      <w:pPr>
        <w:spacing w:after="200" w:line="480" w:lineRule="auto"/>
        <w:rPr>
          <w:rFonts w:ascii="Arial" w:eastAsia="Calibri" w:hAnsi="Arial"/>
          <w:b/>
          <w:sz w:val="22"/>
          <w:szCs w:val="22"/>
          <w:lang w:val="en-GB"/>
        </w:rPr>
      </w:pPr>
      <w:r w:rsidRPr="00CB56E7">
        <w:rPr>
          <w:rFonts w:ascii="Arial" w:eastAsia="Calibri" w:hAnsi="Arial"/>
          <w:b/>
          <w:sz w:val="22"/>
          <w:szCs w:val="22"/>
          <w:lang w:val="en-GB"/>
        </w:rPr>
        <w:t>Laboratory methods: 1997/8</w:t>
      </w:r>
    </w:p>
    <w:p w:rsidR="0056762D" w:rsidRPr="00CB56E7" w:rsidRDefault="0056762D" w:rsidP="00ED3549">
      <w:pPr>
        <w:spacing w:after="200" w:line="480" w:lineRule="auto"/>
        <w:rPr>
          <w:rFonts w:ascii="Arial" w:eastAsia="Calibri" w:hAnsi="Arial"/>
          <w:sz w:val="22"/>
          <w:szCs w:val="22"/>
          <w:lang w:val="en-GB"/>
        </w:rPr>
      </w:pPr>
      <w:r w:rsidRPr="00CB56E7">
        <w:rPr>
          <w:rFonts w:ascii="Arial" w:eastAsia="Calibri" w:hAnsi="Arial"/>
          <w:sz w:val="22"/>
          <w:szCs w:val="22"/>
          <w:lang w:val="en-GB"/>
        </w:rPr>
        <w:t>The methods used in this study have previously been described</w:t>
      </w:r>
      <w:r w:rsidR="004E7DAF" w:rsidRPr="00CB56E7">
        <w:rPr>
          <w:rFonts w:ascii="Arial" w:eastAsia="Calibri" w:hAnsi="Arial"/>
          <w:sz w:val="22"/>
          <w:szCs w:val="22"/>
          <w:lang w:val="en-GB"/>
        </w:rPr>
        <w:t xml:space="preserve"> </w: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begin">
          <w:fldData xml:space="preserve">PEVuZE5vdGU+PENpdGUgRXhjbHVkZVllYXI9IjEiPjxBdXRob3I+R29yZG9uPC9BdXRob3I+PFll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</w:fldData>
        </w:fldChar>
      </w:r>
      <w:r w:rsidR="00CB56E7" w:rsidRPr="00CB56E7">
        <w:rPr>
          <w:rFonts w:ascii="Arial" w:eastAsia="Calibri" w:hAnsi="Arial"/>
          <w:sz w:val="22"/>
          <w:szCs w:val="22"/>
          <w:lang w:val="en-GB"/>
        </w:rPr>
        <w:instrText xml:space="preserve"> ADDIN EN.CITE </w:instrTex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begin">
          <w:fldData xml:space="preserve">PEVuZE5vdGU+PENpdGUgRXhjbHVkZVllYXI9IjEiPjxBdXRob3I+R29yZG9uPC9BdXRob3I+PFll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</w:fldData>
        </w:fldChar>
      </w:r>
      <w:r w:rsidR="00CB56E7" w:rsidRPr="00CB56E7">
        <w:rPr>
          <w:rFonts w:ascii="Arial" w:eastAsia="Calibri" w:hAnsi="Arial"/>
          <w:sz w:val="22"/>
          <w:szCs w:val="22"/>
          <w:lang w:val="en-GB"/>
        </w:rPr>
        <w:instrText xml:space="preserve"> ADDIN EN.CITE.DATA </w:instrText>
      </w:r>
      <w:r w:rsidR="001D6B8A" w:rsidRPr="00CB56E7">
        <w:rPr>
          <w:rFonts w:ascii="Arial" w:eastAsia="Calibri" w:hAnsi="Arial"/>
          <w:sz w:val="22"/>
          <w:szCs w:val="22"/>
          <w:lang w:val="en-GB"/>
        </w:rPr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end"/>
      </w:r>
      <w:r w:rsidR="001D6B8A" w:rsidRPr="00CB56E7">
        <w:rPr>
          <w:rFonts w:ascii="Arial" w:eastAsia="Calibri" w:hAnsi="Arial"/>
          <w:sz w:val="22"/>
          <w:szCs w:val="22"/>
          <w:lang w:val="en-GB"/>
        </w:rPr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separate"/>
      </w:r>
      <w:r w:rsidR="00CB56E7" w:rsidRPr="00CB56E7">
        <w:rPr>
          <w:rFonts w:ascii="Arial" w:eastAsia="Calibri" w:hAnsi="Arial"/>
          <w:noProof/>
          <w:sz w:val="22"/>
          <w:szCs w:val="22"/>
          <w:lang w:val="en-GB"/>
        </w:rPr>
        <w:t>[</w:t>
      </w:r>
      <w:hyperlink w:anchor="_ENREF_5" w:tooltip="Gordon, 2001 #643" w:history="1">
        <w:r w:rsidR="002246CF" w:rsidRPr="00CB56E7">
          <w:rPr>
            <w:rFonts w:ascii="Arial" w:eastAsia="Calibri" w:hAnsi="Arial"/>
            <w:noProof/>
            <w:sz w:val="22"/>
            <w:szCs w:val="22"/>
            <w:lang w:val="en-GB"/>
          </w:rPr>
          <w:t>5</w:t>
        </w:r>
      </w:hyperlink>
      <w:r w:rsidR="00CB56E7" w:rsidRPr="00CB56E7">
        <w:rPr>
          <w:rFonts w:ascii="Arial" w:eastAsia="Calibri" w:hAnsi="Arial"/>
          <w:noProof/>
          <w:sz w:val="22"/>
          <w:szCs w:val="22"/>
          <w:lang w:val="en-GB"/>
        </w:rPr>
        <w:t>]</w: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end"/>
      </w:r>
      <w:r w:rsidRPr="00CB56E7">
        <w:rPr>
          <w:rFonts w:ascii="Arial" w:eastAsia="Calibri" w:hAnsi="Arial"/>
          <w:sz w:val="22"/>
          <w:szCs w:val="22"/>
          <w:lang w:val="en-GB"/>
        </w:rPr>
        <w:t>. In brief, there was no dedicated team of blood-culture nurses at this time</w:t>
      </w:r>
      <w:r w:rsidR="004E7DAF" w:rsidRPr="00CB56E7">
        <w:rPr>
          <w:rFonts w:ascii="Arial" w:eastAsia="Calibri" w:hAnsi="Arial"/>
          <w:sz w:val="22"/>
          <w:szCs w:val="22"/>
          <w:lang w:val="en-GB"/>
        </w:rPr>
        <w:t xml:space="preserve"> and culture was manual, not automated</w:t>
      </w:r>
      <w:r w:rsidRPr="00CB56E7">
        <w:rPr>
          <w:rFonts w:ascii="Arial" w:eastAsia="Calibri" w:hAnsi="Arial"/>
          <w:sz w:val="22"/>
          <w:szCs w:val="22"/>
          <w:lang w:val="en-GB"/>
        </w:rPr>
        <w:t>. Blood was inoculated into brain-heart infusion broth and sub-cultured after 1, 2 and 7 days of culture at 37</w:t>
      </w:r>
      <w:r w:rsidRPr="00CB56E7">
        <w:rPr>
          <w:rFonts w:ascii="Arial" w:eastAsia="Calibri" w:hAnsi="Arial"/>
          <w:sz w:val="22"/>
          <w:szCs w:val="22"/>
          <w:vertAlign w:val="superscript"/>
          <w:lang w:val="en-GB"/>
        </w:rPr>
        <w:t>o</w:t>
      </w:r>
      <w:r w:rsidRPr="00CB56E7">
        <w:rPr>
          <w:rFonts w:ascii="Arial" w:eastAsia="Calibri" w:hAnsi="Arial"/>
          <w:sz w:val="22"/>
          <w:szCs w:val="22"/>
          <w:lang w:val="en-GB"/>
        </w:rPr>
        <w:t>C in air. This approach is likely to be of lower sensitivity than the 2009/10 methodology, especially for the culture of S. pneumoniae</w: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begin"/>
      </w:r>
      <w:r w:rsidR="00CB56E7" w:rsidRPr="00CB56E7">
        <w:rPr>
          <w:rFonts w:ascii="Arial" w:eastAsia="Calibri" w:hAnsi="Arial"/>
          <w:sz w:val="22"/>
          <w:szCs w:val="22"/>
          <w:lang w:val="en-GB"/>
        </w:rPr>
        <w:instrText xml:space="preserve"> ADDIN EN.CITE &lt;EndNote&gt;&lt;Cite ExcludeYear="1"&gt;&lt;Author&gt;Mtunthama&lt;/Author&gt;&lt;Year&gt;2008&lt;/Year&gt;&lt;RecNum&gt;5297&lt;/RecNum&gt;&lt;DisplayText&gt;[1]&lt;/DisplayText&gt;&lt;record&gt;&lt;rec-number&gt;5297&lt;/rec-number&gt;&lt;foreign-keys&gt;&lt;key app="EN" db-id="x0sftfeaod5pdzeszpc5vvwpt5z5z5dtew0p"&gt;5297&lt;/key&gt;&lt;/foreign-keys&gt;&lt;ref-type name="Journal Article"&gt;17&lt;/ref-type&gt;&lt;contributors&gt;&lt;authors&gt;&lt;author&gt;Mtunthama, N.&lt;/author&gt;&lt;author&gt;Gordon, S. B.&lt;/author&gt;&lt;author&gt;Kusimbwe, T.&lt;/author&gt;&lt;author&gt;Zijlstra, E. E.&lt;/author&gt;&lt;author&gt;Molyneux, M. E.&lt;/author&gt;&lt;author&gt;French, N.&lt;/author&gt;&lt;/authors&gt;&lt;/contributors&gt;&lt;auth-address&gt;Malawi-Liverpool-Liverpool Wellcome Trust Laboratories, Blantyre, Malawi. nmtunthama@mlw.medcol.mw&lt;/auth-address&gt;&lt;titles&gt;&lt;title&gt;Blood culture collection technique and pneumococcal surveillance in Malawi during the four year period 2003-2006: an observational study&lt;/title&gt;&lt;secondary-title&gt;BMC Infect Dis&lt;/secondary-title&gt;&lt;/titles&gt;&lt;periodical&gt;&lt;full-title&gt;BMC Infect Dis&lt;/full-title&gt;&lt;/periodical&gt;&lt;pages&gt;137&lt;/pages&gt;&lt;volume&gt;8&lt;/volume&gt;&lt;edition&gt;2008/10/16&lt;/edition&gt;&lt;keywords&gt;&lt;keyword&gt;Adult&lt;/keyword&gt;&lt;keyword&gt;Bacteriological Techniques/methods/*standards&lt;/keyword&gt;&lt;keyword&gt;Blood Specimen Collection/methods/*standards&lt;/keyword&gt;&lt;keyword&gt;Hospitals, Public/*organization &amp;amp; administration/standards&lt;/keyword&gt;&lt;keyword&gt;Humans&lt;/keyword&gt;&lt;keyword&gt;Malawi/epidemiology&lt;/keyword&gt;&lt;keyword&gt;Medical Audit&lt;/keyword&gt;&lt;keyword&gt;Nurses&lt;/keyword&gt;&lt;keyword&gt;Pneumococcal Infections/epidemiology&lt;/keyword&gt;&lt;keyword&gt;Population Surveillance&lt;/keyword&gt;&lt;keyword&gt;Prospective Studies&lt;/keyword&gt;&lt;keyword&gt;Streptococcus pneumoniae/*isolation &amp;amp; purification&lt;/keyword&gt;&lt;/keywords&gt;&lt;dates&gt;&lt;year&gt;2008&lt;/year&gt;&lt;/dates&gt;&lt;isbn&gt;1471-2334 (Electronic)&amp;#xD;1471-2334 (Linking)&lt;/isbn&gt;&lt;accession-num&gt;18854024&lt;/accession-num&gt;&lt;urls&gt;&lt;related-urls&gt;&lt;url&gt;http://www.ncbi.nlm.nih.gov/pubmed/18854024&lt;/url&gt;&lt;/related-urls&gt;&lt;/urls&gt;&lt;custom2&gt;2576305&lt;/custom2&gt;&lt;electronic-resource-num&gt;10.1186/1471-2334-8-137&amp;#xD;1471-2334-8-137 [pii]&lt;/electronic-resource-num&gt;&lt;language&gt;eng&lt;/language&gt;&lt;/record&gt;&lt;/Cite&gt;&lt;/EndNote&gt;</w:instrTex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separate"/>
      </w:r>
      <w:r w:rsidR="00CB56E7" w:rsidRPr="00CB56E7">
        <w:rPr>
          <w:rFonts w:ascii="Arial" w:eastAsia="Calibri" w:hAnsi="Arial"/>
          <w:noProof/>
          <w:sz w:val="22"/>
          <w:szCs w:val="22"/>
          <w:lang w:val="en-GB"/>
        </w:rPr>
        <w:t>[</w:t>
      </w:r>
      <w:hyperlink w:anchor="_ENREF_1" w:tooltip="Mtunthama, 2008 #5297" w:history="1">
        <w:r w:rsidR="002246CF" w:rsidRPr="00CB56E7">
          <w:rPr>
            <w:rFonts w:ascii="Arial" w:eastAsia="Calibri" w:hAnsi="Arial"/>
            <w:noProof/>
            <w:sz w:val="22"/>
            <w:szCs w:val="22"/>
            <w:lang w:val="en-GB"/>
          </w:rPr>
          <w:t>1</w:t>
        </w:r>
      </w:hyperlink>
      <w:r w:rsidR="00CB56E7" w:rsidRPr="00CB56E7">
        <w:rPr>
          <w:rFonts w:ascii="Arial" w:eastAsia="Calibri" w:hAnsi="Arial"/>
          <w:noProof/>
          <w:sz w:val="22"/>
          <w:szCs w:val="22"/>
          <w:lang w:val="en-GB"/>
        </w:rPr>
        <w:t>]</w:t>
      </w:r>
      <w:r w:rsidR="001D6B8A" w:rsidRPr="00CB56E7">
        <w:rPr>
          <w:rFonts w:ascii="Arial" w:eastAsia="Calibri" w:hAnsi="Arial"/>
          <w:sz w:val="22"/>
          <w:szCs w:val="22"/>
          <w:lang w:val="en-GB"/>
        </w:rPr>
        <w:fldChar w:fldCharType="end"/>
      </w:r>
      <w:r w:rsidRPr="00CB56E7">
        <w:rPr>
          <w:rFonts w:ascii="Arial" w:eastAsia="Calibri" w:hAnsi="Arial"/>
          <w:sz w:val="22"/>
          <w:szCs w:val="22"/>
          <w:lang w:val="en-GB"/>
        </w:rPr>
        <w:t>.</w:t>
      </w:r>
    </w:p>
    <w:p w:rsidR="008100ED" w:rsidRPr="002246CF" w:rsidRDefault="008100ED">
      <w:pPr>
        <w:rPr>
          <w:rFonts w:ascii="Arial" w:hAnsi="Arial" w:cs="Arial"/>
        </w:rPr>
      </w:pPr>
    </w:p>
    <w:p w:rsidR="002246CF" w:rsidRPr="002246CF" w:rsidRDefault="001D6B8A" w:rsidP="002246CF">
      <w:pPr>
        <w:ind w:left="720" w:hanging="720"/>
        <w:rPr>
          <w:rFonts w:ascii="Arial" w:hAnsi="Arial" w:cs="Arial"/>
          <w:noProof/>
          <w:szCs w:val="22"/>
        </w:rPr>
      </w:pPr>
      <w:r w:rsidRPr="002246CF">
        <w:rPr>
          <w:rFonts w:ascii="Arial" w:hAnsi="Arial" w:cs="Arial"/>
          <w:sz w:val="22"/>
          <w:szCs w:val="22"/>
        </w:rPr>
        <w:fldChar w:fldCharType="begin"/>
      </w:r>
      <w:r w:rsidR="008100ED" w:rsidRPr="002246CF">
        <w:rPr>
          <w:rFonts w:ascii="Arial" w:hAnsi="Arial" w:cs="Arial"/>
          <w:sz w:val="22"/>
          <w:szCs w:val="22"/>
        </w:rPr>
        <w:instrText xml:space="preserve"> ADDIN EN.REFLIST </w:instrText>
      </w:r>
      <w:r w:rsidRPr="002246CF">
        <w:rPr>
          <w:rFonts w:ascii="Arial" w:hAnsi="Arial" w:cs="Arial"/>
          <w:sz w:val="22"/>
          <w:szCs w:val="22"/>
        </w:rPr>
        <w:fldChar w:fldCharType="separate"/>
      </w:r>
      <w:bookmarkStart w:id="0" w:name="_ENREF_1"/>
      <w:r w:rsidR="002246CF" w:rsidRPr="002246CF">
        <w:rPr>
          <w:rFonts w:ascii="Arial" w:hAnsi="Arial" w:cs="Arial"/>
          <w:noProof/>
          <w:szCs w:val="22"/>
        </w:rPr>
        <w:t>1. Mtunthama N, Gordon SB, Kusimbwe T, Zijlstra EE, Molyneux ME, et al. (2008) Blood culture collection technique and pneumococcal surveillance in Malawi during the four year period 2003-2006: an observational study. BMC Infect Dis 8: 137.</w:t>
      </w:r>
      <w:bookmarkEnd w:id="0"/>
    </w:p>
    <w:p w:rsidR="002246CF" w:rsidRPr="002246CF" w:rsidRDefault="002246CF" w:rsidP="002246CF">
      <w:pPr>
        <w:ind w:left="720" w:hanging="720"/>
        <w:rPr>
          <w:rFonts w:ascii="Arial" w:hAnsi="Arial" w:cs="Arial"/>
          <w:noProof/>
          <w:szCs w:val="22"/>
        </w:rPr>
      </w:pPr>
      <w:bookmarkStart w:id="1" w:name="_ENREF_2"/>
      <w:r w:rsidRPr="002246CF">
        <w:rPr>
          <w:rFonts w:ascii="Arial" w:hAnsi="Arial" w:cs="Arial"/>
          <w:noProof/>
          <w:szCs w:val="22"/>
        </w:rPr>
        <w:t>2. Barrow G FR (1993) Cowan and Steele’s manual for the identification</w:t>
      </w:r>
      <w:r>
        <w:rPr>
          <w:rFonts w:ascii="Arial" w:hAnsi="Arial" w:cs="Arial"/>
          <w:noProof/>
          <w:szCs w:val="22"/>
        </w:rPr>
        <w:t xml:space="preserve"> </w:t>
      </w:r>
      <w:r w:rsidRPr="002246CF">
        <w:rPr>
          <w:rFonts w:ascii="Arial" w:hAnsi="Arial" w:cs="Arial"/>
          <w:noProof/>
          <w:szCs w:val="22"/>
        </w:rPr>
        <w:t>of medical bacteria. . Cambridge, UK: Cambridge University</w:t>
      </w:r>
      <w:r>
        <w:rPr>
          <w:rFonts w:ascii="Arial" w:hAnsi="Arial" w:cs="Arial"/>
          <w:noProof/>
          <w:szCs w:val="22"/>
        </w:rPr>
        <w:t xml:space="preserve"> </w:t>
      </w:r>
      <w:r w:rsidRPr="002246CF">
        <w:rPr>
          <w:rFonts w:ascii="Arial" w:hAnsi="Arial" w:cs="Arial"/>
          <w:noProof/>
          <w:szCs w:val="22"/>
        </w:rPr>
        <w:t>Press.</w:t>
      </w:r>
      <w:bookmarkEnd w:id="1"/>
    </w:p>
    <w:p w:rsidR="002246CF" w:rsidRPr="002246CF" w:rsidRDefault="002246CF" w:rsidP="002246CF">
      <w:pPr>
        <w:ind w:left="720" w:hanging="720"/>
        <w:rPr>
          <w:rFonts w:ascii="Arial" w:hAnsi="Arial" w:cs="Arial"/>
          <w:noProof/>
          <w:szCs w:val="22"/>
        </w:rPr>
      </w:pPr>
      <w:bookmarkStart w:id="2" w:name="_ENREF_3"/>
      <w:r w:rsidRPr="002246CF">
        <w:rPr>
          <w:rFonts w:ascii="Arial" w:hAnsi="Arial" w:cs="Arial"/>
          <w:noProof/>
          <w:szCs w:val="22"/>
        </w:rPr>
        <w:t>3. BSAC (2009) Methods for Antimicrobial Susceptibility Testing Version 8, January 2009 British Society for Antimicrobial Chemotherapy.</w:t>
      </w:r>
      <w:bookmarkEnd w:id="2"/>
    </w:p>
    <w:p w:rsidR="002246CF" w:rsidRPr="002246CF" w:rsidRDefault="002246CF" w:rsidP="002246CF">
      <w:pPr>
        <w:ind w:left="720" w:hanging="720"/>
        <w:rPr>
          <w:rFonts w:ascii="Arial" w:hAnsi="Arial" w:cs="Arial"/>
          <w:noProof/>
          <w:szCs w:val="22"/>
        </w:rPr>
      </w:pPr>
      <w:bookmarkStart w:id="3" w:name="_ENREF_4"/>
      <w:r w:rsidRPr="002246CF">
        <w:rPr>
          <w:rFonts w:ascii="Arial" w:hAnsi="Arial" w:cs="Arial"/>
          <w:noProof/>
          <w:szCs w:val="22"/>
        </w:rPr>
        <w:lastRenderedPageBreak/>
        <w:t>4. WHO (2011) Haemoglobin concentrations for the diagnosis of anaemia and assemssment of severity Vitamin and Mineral Nutrition Information System WHO/NMH/MNM/11.1.</w:t>
      </w:r>
      <w:bookmarkEnd w:id="3"/>
    </w:p>
    <w:p w:rsidR="002246CF" w:rsidRPr="002246CF" w:rsidRDefault="002246CF" w:rsidP="002246CF">
      <w:pPr>
        <w:ind w:left="720" w:hanging="720"/>
        <w:rPr>
          <w:rFonts w:ascii="Arial" w:hAnsi="Arial" w:cs="Arial"/>
          <w:noProof/>
          <w:szCs w:val="22"/>
        </w:rPr>
      </w:pPr>
      <w:bookmarkStart w:id="4" w:name="_ENREF_5"/>
      <w:r w:rsidRPr="002246CF">
        <w:rPr>
          <w:rFonts w:ascii="Arial" w:hAnsi="Arial" w:cs="Arial"/>
          <w:noProof/>
          <w:szCs w:val="22"/>
        </w:rPr>
        <w:t>5. Gordon MA, Walsh AL, Chaponda M, Soko D, Mbvwinji M, et al. (2001) Bacteraemia and mortality among adult medical admissions in Malawi--predominance of non-typhi salmonellae and Streptococcus pneumoniae. J Infect 42: 44-49.</w:t>
      </w:r>
      <w:bookmarkEnd w:id="4"/>
    </w:p>
    <w:p w:rsidR="002246CF" w:rsidRPr="002246CF" w:rsidRDefault="002246CF" w:rsidP="002246CF">
      <w:pPr>
        <w:rPr>
          <w:rFonts w:ascii="Arial" w:hAnsi="Arial" w:cs="Arial"/>
          <w:noProof/>
          <w:szCs w:val="22"/>
        </w:rPr>
      </w:pPr>
    </w:p>
    <w:p w:rsidR="00BF029C" w:rsidRPr="00CB56E7" w:rsidRDefault="001D6B8A">
      <w:pPr>
        <w:rPr>
          <w:rFonts w:ascii="Arial" w:hAnsi="Arial" w:cs="Arial"/>
          <w:sz w:val="22"/>
          <w:szCs w:val="22"/>
        </w:rPr>
      </w:pPr>
      <w:r w:rsidRPr="002246CF">
        <w:rPr>
          <w:rFonts w:ascii="Arial" w:hAnsi="Arial" w:cs="Arial"/>
          <w:sz w:val="22"/>
          <w:szCs w:val="22"/>
        </w:rPr>
        <w:fldChar w:fldCharType="end"/>
      </w:r>
    </w:p>
    <w:sectPr w:rsidR="00BF029C" w:rsidRPr="00CB56E7" w:rsidSect="00BF0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0sftfeaod5pdzeszpc5vvwpt5z5z5dtew0p&quot;&gt;My EndNote Salmonella Library Copy&lt;record-ids&gt;&lt;item&gt;643&lt;/item&gt;&lt;item&gt;1487&lt;/item&gt;&lt;item&gt;4234&lt;/item&gt;&lt;item&gt;4919&lt;/item&gt;&lt;item&gt;5297&lt;/item&gt;&lt;/record-ids&gt;&lt;/item&gt;&lt;/Libraries&gt;"/>
  </w:docVars>
  <w:rsids>
    <w:rsidRoot w:val="00ED3549"/>
    <w:rsid w:val="000601C1"/>
    <w:rsid w:val="00153B35"/>
    <w:rsid w:val="00154981"/>
    <w:rsid w:val="001D6B8A"/>
    <w:rsid w:val="002246CF"/>
    <w:rsid w:val="00310FF9"/>
    <w:rsid w:val="00315EC6"/>
    <w:rsid w:val="00407110"/>
    <w:rsid w:val="004E7DAF"/>
    <w:rsid w:val="0056762D"/>
    <w:rsid w:val="007953C5"/>
    <w:rsid w:val="007C33DF"/>
    <w:rsid w:val="008100ED"/>
    <w:rsid w:val="0081571E"/>
    <w:rsid w:val="00872DDD"/>
    <w:rsid w:val="008A1E9A"/>
    <w:rsid w:val="008F38F2"/>
    <w:rsid w:val="00955B82"/>
    <w:rsid w:val="00A22EAD"/>
    <w:rsid w:val="00A46A9D"/>
    <w:rsid w:val="00A57AEA"/>
    <w:rsid w:val="00AC4353"/>
    <w:rsid w:val="00BD5BCD"/>
    <w:rsid w:val="00BF029C"/>
    <w:rsid w:val="00C75BEB"/>
    <w:rsid w:val="00CB56E7"/>
    <w:rsid w:val="00D62E51"/>
    <w:rsid w:val="00ED3549"/>
    <w:rsid w:val="00F6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0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81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246C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GB"/>
    </w:rPr>
  </w:style>
  <w:style w:type="table" w:customStyle="1" w:styleId="LightShading-Accent11">
    <w:name w:val="Light Shading - Accent 11"/>
    <w:basedOn w:val="TableNormal"/>
    <w:uiPriority w:val="60"/>
    <w:rsid w:val="00224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2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24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378D-12A2-4F54-B10E-AA597C35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Feasey</dc:creator>
  <cp:lastModifiedBy>Nick Feasey</cp:lastModifiedBy>
  <cp:revision>2</cp:revision>
  <dcterms:created xsi:type="dcterms:W3CDTF">2014-02-14T16:28:00Z</dcterms:created>
  <dcterms:modified xsi:type="dcterms:W3CDTF">2014-02-14T16:28:00Z</dcterms:modified>
</cp:coreProperties>
</file>