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5" w:rsidRPr="005E6A25" w:rsidRDefault="005E6A25" w:rsidP="005E6A25">
      <w:pPr>
        <w:rPr>
          <w:rFonts w:ascii="Times New Roman" w:hAnsi="Times New Roman" w:cs="Times New Roman"/>
          <w:sz w:val="24"/>
          <w:szCs w:val="24"/>
        </w:rPr>
      </w:pPr>
      <w:r w:rsidRPr="00350656">
        <w:rPr>
          <w:rFonts w:ascii="Times New Roman" w:hAnsi="Times New Roman" w:cs="Times New Roman"/>
          <w:sz w:val="24"/>
          <w:szCs w:val="24"/>
        </w:rPr>
        <w:t xml:space="preserve">Uitdehaag </w:t>
      </w:r>
      <w:r w:rsidRPr="00350656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 supplementary data</w:t>
      </w:r>
      <w:bookmarkStart w:id="0" w:name="_GoBack"/>
      <w:bookmarkEnd w:id="0"/>
    </w:p>
    <w:p w:rsidR="005E6A25" w:rsidRDefault="005E6A25" w:rsidP="005E6A25">
      <w:pPr>
        <w:rPr>
          <w:b/>
        </w:rPr>
      </w:pPr>
      <w:r>
        <w:rPr>
          <w:b/>
          <w:sz w:val="32"/>
          <w:szCs w:val="32"/>
        </w:rPr>
        <w:t>A</w:t>
      </w:r>
      <w:r>
        <w:rPr>
          <w:b/>
          <w:noProof/>
          <w:lang w:eastAsia="nl-NL"/>
        </w:rPr>
        <w:drawing>
          <wp:inline distT="0" distB="0" distL="0" distR="0" wp14:anchorId="530D26A5" wp14:editId="3A9075B6">
            <wp:extent cx="3323646" cy="3323646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tini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653" cy="332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25" w:rsidRDefault="005E6A25" w:rsidP="005E6A25">
      <w:r w:rsidRPr="0061410B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A4ED" wp14:editId="5AC401D2">
                <wp:simplePos x="0" y="0"/>
                <wp:positionH relativeFrom="column">
                  <wp:posOffset>1236869</wp:posOffset>
                </wp:positionH>
                <wp:positionV relativeFrom="paragraph">
                  <wp:posOffset>2139178</wp:posOffset>
                </wp:positionV>
                <wp:extent cx="173355" cy="85725"/>
                <wp:effectExtent l="62865" t="0" r="41910" b="22860"/>
                <wp:wrapNone/>
                <wp:docPr id="23" name="PIJL-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83266">
                          <a:off x="0" y="0"/>
                          <a:ext cx="173355" cy="857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3" o:spid="_x0000_s1026" type="#_x0000_t13" style="position:absolute;margin-left:97.4pt;margin-top:168.45pt;width:13.65pt;height:6.75pt;rotation:-31858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" adj="16259" fillcolor="#92d050" strokecolor="#385d8a" strokeweight="1pt"/>
            </w:pict>
          </mc:Fallback>
        </mc:AlternateContent>
      </w:r>
      <w:r>
        <w:rPr>
          <w:b/>
          <w:sz w:val="32"/>
          <w:szCs w:val="32"/>
        </w:rPr>
        <w:t>B</w:t>
      </w:r>
      <w:r>
        <w:rPr>
          <w:noProof/>
          <w:lang w:eastAsia="nl-NL"/>
        </w:rPr>
        <w:drawing>
          <wp:inline distT="0" distB="0" distL="0" distR="0" wp14:anchorId="2C86BA72" wp14:editId="47AB6322">
            <wp:extent cx="3315694" cy="3315694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atini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700" cy="331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A25" w:rsidRPr="00AA377E" w:rsidRDefault="005E6A25" w:rsidP="005E6A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5B7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B55B7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5B76">
        <w:rPr>
          <w:rFonts w:ascii="Times New Roman" w:hAnsi="Times New Roman" w:cs="Times New Roman"/>
          <w:sz w:val="24"/>
          <w:szCs w:val="24"/>
        </w:rPr>
        <w:t xml:space="preserve"> </w:t>
      </w:r>
      <w:r w:rsidRPr="00B55B76">
        <w:rPr>
          <w:rFonts w:ascii="Times New Roman" w:hAnsi="Times New Roman" w:cs="Times New Roman"/>
          <w:b/>
          <w:sz w:val="24"/>
          <w:szCs w:val="24"/>
        </w:rPr>
        <w:t xml:space="preserve">Volcano-analysis of the EGFR inhibitors pelitinib (EKB-569) and neratinib (HKI-272). </w:t>
      </w:r>
      <w:r w:rsidRPr="00AA377E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B76">
        <w:rPr>
          <w:rFonts w:ascii="Times New Roman" w:hAnsi="Times New Roman" w:cs="Times New Roman"/>
          <w:sz w:val="24"/>
          <w:szCs w:val="24"/>
        </w:rPr>
        <w:t>Pelitinib is more active in cell li</w:t>
      </w:r>
      <w:r>
        <w:rPr>
          <w:rFonts w:ascii="Times New Roman" w:hAnsi="Times New Roman" w:cs="Times New Roman"/>
          <w:sz w:val="24"/>
          <w:szCs w:val="24"/>
        </w:rPr>
        <w:t>nes containing SMAD4 mutations.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77E"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B76">
        <w:rPr>
          <w:rFonts w:ascii="Times New Roman" w:hAnsi="Times New Roman" w:cs="Times New Roman"/>
          <w:sz w:val="24"/>
          <w:szCs w:val="24"/>
        </w:rPr>
        <w:t>Also for neratinib, presence of a SMAD4 mutation sensitizes cell lines, although significance doesn’t rise above the p-value cutoff level (green arrow). This confirms the findings with afatinib, another EGFR inhibitor, as described in the main text and erlotinib and gefitinib (</w:t>
      </w:r>
      <w:r w:rsidRPr="00AA377E">
        <w:rPr>
          <w:rFonts w:ascii="Times New Roman" w:hAnsi="Times New Roman" w:cs="Times New Roman"/>
          <w:sz w:val="24"/>
          <w:szCs w:val="24"/>
        </w:rPr>
        <w:t>Figure S4</w:t>
      </w:r>
      <w:r w:rsidRPr="00B55B76">
        <w:rPr>
          <w:rFonts w:ascii="Times New Roman" w:hAnsi="Times New Roman" w:cs="Times New Roman"/>
          <w:sz w:val="24"/>
          <w:szCs w:val="24"/>
        </w:rPr>
        <w:t>). The significance cutoff (dotted line) in these Anovas was set at a fixed level of 0.1.</w:t>
      </w:r>
    </w:p>
    <w:p w:rsidR="00777FCF" w:rsidRDefault="00777FCF"/>
    <w:sectPr w:rsidR="00777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25"/>
    <w:rsid w:val="005E6A25"/>
    <w:rsid w:val="00760569"/>
    <w:rsid w:val="00777FCF"/>
    <w:rsid w:val="00C86739"/>
    <w:rsid w:val="00E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6A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6A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uitdehaaj</cp:lastModifiedBy>
  <cp:revision>1</cp:revision>
  <dcterms:created xsi:type="dcterms:W3CDTF">2013-12-17T21:46:00Z</dcterms:created>
  <dcterms:modified xsi:type="dcterms:W3CDTF">2013-12-17T21:47:00Z</dcterms:modified>
</cp:coreProperties>
</file>