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4A" w:rsidRDefault="00BE774A" w:rsidP="00BE774A"/>
    <w:p w:rsidR="00BE774A" w:rsidRDefault="00BE774A" w:rsidP="00BE774A"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4023262</wp:posOffset>
            </wp:positionH>
            <wp:positionV relativeFrom="paragraph">
              <wp:posOffset>6741</wp:posOffset>
            </wp:positionV>
            <wp:extent cx="1881554" cy="2927970"/>
            <wp:effectExtent l="0" t="0" r="4396" b="0"/>
            <wp:wrapNone/>
            <wp:docPr id="3" name="Picture 2" descr="Site_status_23Sep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_status_23Sep1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54" cy="292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200025</wp:posOffset>
            </wp:positionV>
            <wp:extent cx="3947795" cy="2631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74A" w:rsidRDefault="00BE774A" w:rsidP="00BE774A"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3.85pt;margin-top:3.5pt;width:0;height:157.85pt;flip:y;z-index:251661312" o:connectortype="straight" strokecolor="red"/>
        </w:pict>
      </w: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9.1pt;margin-top:3.5pt;width:26.75pt;height:28.15pt;z-index:251658240" filled="f" stroked="f">
            <v:textbox>
              <w:txbxContent>
                <w:p w:rsidR="00BE774A" w:rsidRPr="00F6140C" w:rsidRDefault="00BE774A" w:rsidP="00BE774A">
                  <w:pPr>
                    <w:rPr>
                      <w:b/>
                    </w:rPr>
                  </w:pPr>
                  <w:r w:rsidRPr="00F6140C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8" type="#_x0000_t202" style="position:absolute;margin-left:407.75pt;margin-top:.25pt;width:26.75pt;height:28.15pt;z-index:251658240" filled="f" stroked="f">
            <v:textbox>
              <w:txbxContent>
                <w:p w:rsidR="00BE774A" w:rsidRPr="00F6140C" w:rsidRDefault="00BE774A" w:rsidP="00BE774A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BE774A" w:rsidRDefault="00BE774A" w:rsidP="00BE774A"/>
    <w:p w:rsidR="00BE774A" w:rsidRDefault="00BE774A" w:rsidP="00BE774A"/>
    <w:p w:rsidR="00BE774A" w:rsidRDefault="00BE774A" w:rsidP="00BE774A"/>
    <w:p w:rsidR="00BE774A" w:rsidRDefault="00BE774A" w:rsidP="00BE774A"/>
    <w:p w:rsidR="00BE774A" w:rsidRDefault="00BE774A" w:rsidP="00BE774A"/>
    <w:p w:rsidR="00BE774A" w:rsidRDefault="00BE774A" w:rsidP="00BE774A"/>
    <w:p w:rsidR="00BE774A" w:rsidRDefault="00BE774A" w:rsidP="00BE774A"/>
    <w:p w:rsidR="00BE774A" w:rsidRDefault="00BE774A" w:rsidP="00BE774A"/>
    <w:p w:rsidR="00BE774A" w:rsidRDefault="00BE774A" w:rsidP="00BE774A"/>
    <w:p w:rsidR="00BE774A" w:rsidRDefault="00BE774A" w:rsidP="00BE774A">
      <w:pPr>
        <w:rPr>
          <w:b/>
        </w:rPr>
      </w:pPr>
    </w:p>
    <w:p w:rsidR="00BE774A" w:rsidRDefault="00BE774A" w:rsidP="00BE774A">
      <w:r w:rsidRPr="00E81802">
        <w:rPr>
          <w:b/>
        </w:rPr>
        <w:t>Figure S1.</w:t>
      </w:r>
      <w:r>
        <w:t xml:space="preserve">  (</w:t>
      </w:r>
      <w:r w:rsidRPr="00E81802">
        <w:rPr>
          <w:b/>
        </w:rPr>
        <w:t>A</w:t>
      </w:r>
      <w:r>
        <w:t xml:space="preserve">) The proportion of QLD Herbarium </w:t>
      </w:r>
      <w:proofErr w:type="spellStart"/>
      <w:r>
        <w:t>Corveg</w:t>
      </w:r>
      <w:proofErr w:type="spellEnd"/>
      <w:r>
        <w:t xml:space="preserve"> survey sites that contain different proportions of </w:t>
      </w:r>
      <w:proofErr w:type="spellStart"/>
      <w:r>
        <w:t>taxa</w:t>
      </w:r>
      <w:proofErr w:type="spellEnd"/>
      <w:r>
        <w:t xml:space="preserve"> not identified to species level, and; (</w:t>
      </w:r>
      <w:r w:rsidRPr="00E81802">
        <w:rPr>
          <w:b/>
        </w:rPr>
        <w:t>B</w:t>
      </w:r>
      <w:r>
        <w:t xml:space="preserve">) the spatial distribution of the retained (blue) and omitted (red) data, as well as the CSIRO data (black), across the Australian Wet Tropics. Data were retained when the proportion of </w:t>
      </w:r>
      <w:proofErr w:type="spellStart"/>
      <w:r>
        <w:t>taxa</w:t>
      </w:r>
      <w:proofErr w:type="spellEnd"/>
      <w:r>
        <w:t xml:space="preserve"> unidentified to species level was &lt; 0.1, as indicted by the red line in (A). </w:t>
      </w:r>
    </w:p>
    <w:p w:rsidR="00A329C6" w:rsidRDefault="00A329C6"/>
    <w:sectPr w:rsidR="00A329C6" w:rsidSect="005A15B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774A"/>
    <w:rsid w:val="0037558C"/>
    <w:rsid w:val="005A15B5"/>
    <w:rsid w:val="00986D14"/>
    <w:rsid w:val="00A329C6"/>
    <w:rsid w:val="00BE774A"/>
    <w:rsid w:val="00C914E2"/>
    <w:rsid w:val="00D3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CSIRO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Mokany, Karel (CES, Black Mountain)</dc:creator>
  <cp:lastModifiedBy>Mokany, Karel (CES, Black Mountain)</cp:lastModifiedBy>
  <cp:revision>1</cp:revision>
  <dcterms:created xsi:type="dcterms:W3CDTF">2014-01-23T22:05:00Z</dcterms:created>
  <dcterms:modified xsi:type="dcterms:W3CDTF">2014-01-23T22:06:00Z</dcterms:modified>
</cp:coreProperties>
</file>