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DE" w:rsidRPr="00E25755" w:rsidRDefault="00A914DE" w:rsidP="0060676C">
      <w:pPr>
        <w:pStyle w:val="Heading1"/>
      </w:pPr>
      <w:bookmarkStart w:id="0" w:name="_Toc354739254"/>
      <w:bookmarkStart w:id="1" w:name="_Toc369602989"/>
      <w:r>
        <w:t>Table S</w:t>
      </w:r>
      <w:r w:rsidR="00552EEB">
        <w:t>1</w:t>
      </w:r>
      <w:r w:rsidR="00EB1E4E">
        <w:tab/>
      </w:r>
      <w:r w:rsidR="00EB1E4E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Pr="00E25755">
        <w:tab/>
      </w:r>
      <w:r w:rsidR="003C3616">
        <w:rPr>
          <w:i/>
        </w:rPr>
        <w:tab/>
      </w:r>
      <w:r w:rsidR="003C3616">
        <w:rPr>
          <w:i/>
        </w:rPr>
        <w:tab/>
      </w:r>
      <w:r w:rsidR="003C3616">
        <w:rPr>
          <w:i/>
        </w:rPr>
        <w:tab/>
      </w:r>
      <w:r w:rsidR="003C3616">
        <w:rPr>
          <w:i/>
        </w:rPr>
        <w:tab/>
      </w:r>
      <w:r w:rsidRPr="00DE16C5">
        <w:rPr>
          <w:i/>
        </w:rPr>
        <w:t>Blood/plasma/serum</w:t>
      </w:r>
      <w:bookmarkEnd w:id="0"/>
      <w:bookmarkEnd w:id="1"/>
    </w:p>
    <w:p w:rsidR="00A914DE" w:rsidRPr="00E25755" w:rsidRDefault="00A914DE" w:rsidP="0060676C">
      <w:pPr>
        <w:spacing w:after="0"/>
        <w:jc w:val="right"/>
        <w:rPr>
          <w:rFonts w:cs="Arial"/>
          <w:b/>
          <w:sz w:val="24"/>
          <w:szCs w:val="24"/>
          <w:u w:val="single"/>
        </w:rPr>
      </w:pPr>
      <w:r w:rsidRPr="00E25755">
        <w:rPr>
          <w:rFonts w:cs="Arial"/>
          <w:b/>
          <w:sz w:val="24"/>
          <w:szCs w:val="24"/>
        </w:rPr>
        <w:t xml:space="preserve">Associations between putative </w:t>
      </w:r>
      <w:r>
        <w:rPr>
          <w:rFonts w:cs="Arial"/>
          <w:b/>
          <w:sz w:val="24"/>
          <w:szCs w:val="24"/>
        </w:rPr>
        <w:t xml:space="preserve">blood, plasma and serum </w:t>
      </w:r>
      <w:r w:rsidRPr="00E25755">
        <w:rPr>
          <w:rFonts w:cs="Arial"/>
          <w:b/>
          <w:sz w:val="24"/>
          <w:szCs w:val="24"/>
        </w:rPr>
        <w:t xml:space="preserve">biomarkers and clinical measures of disease severity, in longitudinal studies included in the systemic review of biomarkers for disease progression in </w:t>
      </w:r>
      <w:r>
        <w:rPr>
          <w:rFonts w:cs="Arial"/>
          <w:b/>
          <w:sz w:val="24"/>
          <w:szCs w:val="24"/>
        </w:rPr>
        <w:t>Alzheimer’s</w:t>
      </w:r>
      <w:r w:rsidRPr="00E25755">
        <w:rPr>
          <w:rFonts w:cs="Arial"/>
          <w:b/>
          <w:sz w:val="24"/>
          <w:szCs w:val="24"/>
        </w:rPr>
        <w:t xml:space="preserve"> disease</w:t>
      </w:r>
    </w:p>
    <w:p w:rsidR="00A914DE" w:rsidRPr="00E25755" w:rsidRDefault="00A914DE" w:rsidP="0060676C">
      <w:pPr>
        <w:spacing w:after="0"/>
        <w:jc w:val="right"/>
        <w:rPr>
          <w:rFonts w:cs="Arial"/>
          <w:b/>
          <w:sz w:val="24"/>
          <w:szCs w:val="24"/>
          <w:u w:val="single"/>
        </w:rPr>
      </w:pPr>
      <w:r w:rsidRPr="00E25755">
        <w:rPr>
          <w:rFonts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5580" w:type="dxa"/>
        <w:jc w:val="center"/>
        <w:tblInd w:w="-80" w:type="dxa"/>
        <w:tblLayout w:type="fixed"/>
        <w:tblLook w:val="04A0" w:firstRow="1" w:lastRow="0" w:firstColumn="1" w:lastColumn="0" w:noHBand="0" w:noVBand="1"/>
      </w:tblPr>
      <w:tblGrid>
        <w:gridCol w:w="3221"/>
        <w:gridCol w:w="1985"/>
        <w:gridCol w:w="1134"/>
        <w:gridCol w:w="1104"/>
        <w:gridCol w:w="1559"/>
        <w:gridCol w:w="1531"/>
        <w:gridCol w:w="1247"/>
        <w:gridCol w:w="1304"/>
        <w:gridCol w:w="1304"/>
        <w:gridCol w:w="1191"/>
      </w:tblGrid>
      <w:tr w:rsidR="00A914DE" w:rsidRPr="00051EFB" w:rsidTr="0060676C">
        <w:trPr>
          <w:jc w:val="center"/>
        </w:trPr>
        <w:tc>
          <w:tcPr>
            <w:tcW w:w="6340" w:type="dxa"/>
            <w:gridSpan w:val="3"/>
            <w:tcBorders>
              <w:top w:val="nil"/>
              <w:left w:val="nil"/>
              <w:right w:val="nil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4DE" w:rsidRPr="00051EFB" w:rsidRDefault="00A914DE" w:rsidP="006067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Association of change in substance</w:t>
            </w:r>
            <w:r w:rsidRPr="00051EFB">
              <w:rPr>
                <w:rFonts w:cs="Arial"/>
                <w:b/>
                <w:sz w:val="20"/>
                <w:szCs w:val="20"/>
              </w:rPr>
              <w:t xml:space="preserve"> measured with change in:</w:t>
            </w: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Substance measured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Reference</w:t>
            </w:r>
          </w:p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(first author, year)</w:t>
            </w:r>
          </w:p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n at baseline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 xml:space="preserve">Number of </w:t>
            </w:r>
            <w:r>
              <w:rPr>
                <w:rFonts w:cs="Arial"/>
                <w:b/>
                <w:sz w:val="20"/>
                <w:szCs w:val="20"/>
              </w:rPr>
              <w:t>sampling intervals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 xml:space="preserve">Time between first and last </w:t>
            </w:r>
            <w:r>
              <w:rPr>
                <w:rFonts w:cs="Arial"/>
                <w:b/>
                <w:sz w:val="20"/>
                <w:szCs w:val="20"/>
              </w:rPr>
              <w:t xml:space="preserve">samples </w:t>
            </w:r>
            <w:r w:rsidRPr="00051EFB">
              <w:rPr>
                <w:rFonts w:cs="Arial"/>
                <w:b/>
                <w:sz w:val="20"/>
                <w:szCs w:val="20"/>
              </w:rPr>
              <w:t>(years)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 w:rsidRPr="00051EFB">
              <w:rPr>
                <w:rFonts w:cs="Arial"/>
                <w:b/>
                <w:sz w:val="20"/>
                <w:szCs w:val="20"/>
              </w:rPr>
              <w:t>MMSE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Modified ADAS-cog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CERAD battery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CIBIC+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</w:t>
            </w: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vMerge w:val="restart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Platelet amyloid beta precursor protein (AβPP) isoform ratio</w:t>
            </w:r>
          </w:p>
        </w:tc>
        <w:tc>
          <w:tcPr>
            <w:tcW w:w="1985" w:type="dxa"/>
            <w:tcBorders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Baskin, 2000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531" w:type="dxa"/>
            <w:tcBorders>
              <w:bottom w:val="nil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 = 0.69(*)</w:t>
            </w:r>
          </w:p>
        </w:tc>
        <w:tc>
          <w:tcPr>
            <w:tcW w:w="1247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vMerge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Borroni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2001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vMerge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Liu, 2007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 = 0.316</w:t>
            </w:r>
            <w:r w:rsidRPr="00E25755">
              <w:rPr>
                <w:rFonts w:cs="Arial"/>
                <w:sz w:val="20"/>
                <w:szCs w:val="20"/>
              </w:rPr>
              <w:t>◘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Neopterin</w:t>
            </w:r>
            <w:proofErr w:type="spellEnd"/>
          </w:p>
        </w:tc>
        <w:tc>
          <w:tcPr>
            <w:tcW w:w="1985" w:type="dxa"/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Blasko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2007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4" w:type="dxa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9" w:type="dxa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531" w:type="dxa"/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</w:t>
            </w:r>
            <w:r w:rsidRPr="00BF2FBD">
              <w:rPr>
                <w:rFonts w:cs="Arial"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= -0.401**</w:t>
            </w:r>
            <w:r w:rsidRPr="00E25755">
              <w:rPr>
                <w:rFonts w:cs="Arial"/>
                <w:sz w:val="20"/>
                <w:szCs w:val="20"/>
              </w:rPr>
              <w:t>†</w:t>
            </w:r>
          </w:p>
        </w:tc>
        <w:tc>
          <w:tcPr>
            <w:tcW w:w="1247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</w:t>
            </w:r>
            <w:r w:rsidRPr="00BF2FBD">
              <w:rPr>
                <w:rFonts w:cs="Arial"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= -0.353*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C-reactive protein (CRP)</w:t>
            </w:r>
          </w:p>
        </w:tc>
        <w:tc>
          <w:tcPr>
            <w:tcW w:w="1985" w:type="dxa"/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Blasko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2007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4" w:type="dxa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9" w:type="dxa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531" w:type="dxa"/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  <w:r w:rsidRPr="00E25755">
              <w:rPr>
                <w:rFonts w:cs="Arial"/>
                <w:sz w:val="20"/>
                <w:szCs w:val="20"/>
              </w:rPr>
              <w:t>†</w:t>
            </w:r>
          </w:p>
        </w:tc>
        <w:tc>
          <w:tcPr>
            <w:tcW w:w="1247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Tumour necrosis factor-alpha (TNF-α)</w:t>
            </w:r>
          </w:p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Alvarez, 2009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vMerge w:val="restart"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Insulin-like growth factor-1 </w:t>
            </w:r>
          </w:p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(IFG-1)</w:t>
            </w:r>
          </w:p>
        </w:tc>
        <w:tc>
          <w:tcPr>
            <w:tcW w:w="1985" w:type="dxa"/>
            <w:tcBorders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Alvarez, 2009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4" w:type="dxa"/>
            <w:tcBorders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531" w:type="dxa"/>
            <w:tcBorders>
              <w:bottom w:val="nil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304" w:type="dxa"/>
            <w:tcBorders>
              <w:bottom w:val="nil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  <w:right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191" w:type="dxa"/>
            <w:tcBorders>
              <w:bottom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vMerge/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Alvarez, 2009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‡</w:t>
            </w: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 = -0.158</w:t>
            </w:r>
            <w:r w:rsidRPr="00E25755">
              <w:rPr>
                <w:rFonts w:cs="Arial"/>
                <w:sz w:val="20"/>
                <w:szCs w:val="20"/>
              </w:rPr>
              <w:t>◘</w:t>
            </w: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 = 0.191*</w:t>
            </w: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vMerge/>
            <w:tcBorders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Alvarez, 2009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5</w:t>
            </w:r>
          </w:p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§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 = -0.205</w:t>
            </w:r>
            <w:r w:rsidRPr="00E25755">
              <w:rPr>
                <w:rFonts w:cs="Arial"/>
                <w:sz w:val="20"/>
                <w:szCs w:val="20"/>
              </w:rPr>
              <w:t>◘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 = 0.223*</w:t>
            </w: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Pr="0042523D">
              <w:rPr>
                <w:rFonts w:cs="Arial"/>
                <w:sz w:val="20"/>
                <w:szCs w:val="20"/>
              </w:rPr>
              <w:t xml:space="preserve">omeostasis model assessment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HOMA)</w:t>
            </w:r>
            <w:r w:rsidRPr="00E2575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•</w:t>
            </w:r>
          </w:p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Isik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2009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Modified HOMA</w:t>
            </w:r>
            <w:r w:rsidRPr="00E2575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•</w:t>
            </w:r>
          </w:p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Isik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, 2009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Afternoon cortisol test (ACT)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Weiner, 1997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7</w:t>
            </w:r>
          </w:p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POS*</w:t>
            </w:r>
            <w:r w:rsidRPr="00E25755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914DE" w:rsidRPr="00051EFB" w:rsidTr="0060676C">
        <w:trPr>
          <w:jc w:val="center"/>
        </w:trPr>
        <w:tc>
          <w:tcPr>
            <w:tcW w:w="3221" w:type="dxa"/>
            <w:tcBorders>
              <w:top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12:00 hours plasma cortisol concentration</w:t>
            </w:r>
          </w:p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Weiner, 1997</w:t>
            </w:r>
            <w:r w:rsidRPr="00541072">
              <w:rPr>
                <w:rFonts w:eastAsia="Times New Roman" w:cs="Arial"/>
                <w:bCs/>
                <w:noProof/>
                <w:color w:val="000000"/>
                <w:sz w:val="20"/>
                <w:szCs w:val="20"/>
                <w:vertAlign w:val="superscript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14DE" w:rsidRDefault="00A914DE" w:rsidP="0060676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POS*</w:t>
            </w:r>
            <w:r w:rsidRPr="00E25755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A914DE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A914DE" w:rsidRPr="00051EFB" w:rsidRDefault="00A914DE" w:rsidP="006067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914DE" w:rsidRDefault="00A914DE" w:rsidP="0060676C">
      <w:pPr>
        <w:spacing w:after="0"/>
        <w:rPr>
          <w:rFonts w:cs="Arial"/>
          <w:b/>
          <w:sz w:val="24"/>
          <w:szCs w:val="24"/>
          <w:u w:val="single"/>
        </w:rPr>
        <w:sectPr w:rsidR="00A914DE" w:rsidSect="00A914DE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B1E4E" w:rsidRDefault="00EB1E4E" w:rsidP="0060676C">
      <w:pPr>
        <w:spacing w:after="0"/>
        <w:rPr>
          <w:rFonts w:cs="Arial"/>
          <w:b/>
          <w:sz w:val="24"/>
          <w:szCs w:val="24"/>
        </w:rPr>
      </w:pPr>
    </w:p>
    <w:p w:rsidR="00EB1E4E" w:rsidRDefault="00EB1E4E" w:rsidP="0060676C">
      <w:pPr>
        <w:spacing w:after="0"/>
        <w:rPr>
          <w:rFonts w:cs="Arial"/>
          <w:b/>
          <w:sz w:val="24"/>
          <w:szCs w:val="24"/>
        </w:rPr>
      </w:pPr>
    </w:p>
    <w:p w:rsidR="00A914DE" w:rsidRPr="006E3478" w:rsidRDefault="00A914DE" w:rsidP="0060676C">
      <w:pPr>
        <w:spacing w:after="0"/>
        <w:rPr>
          <w:rFonts w:cs="Arial"/>
          <w:b/>
          <w:sz w:val="24"/>
          <w:szCs w:val="24"/>
        </w:rPr>
      </w:pPr>
      <w:r w:rsidRPr="006E3478">
        <w:rPr>
          <w:rFonts w:cs="Arial"/>
          <w:b/>
          <w:sz w:val="24"/>
          <w:szCs w:val="24"/>
        </w:rPr>
        <w:lastRenderedPageBreak/>
        <w:t>Key</w:t>
      </w:r>
    </w:p>
    <w:p w:rsidR="00A914DE" w:rsidRPr="009C03D0" w:rsidRDefault="00A914DE" w:rsidP="0060676C">
      <w:pPr>
        <w:spacing w:after="0"/>
        <w:ind w:left="720" w:hanging="720"/>
        <w:rPr>
          <w:rFonts w:cs="Arial"/>
          <w:b/>
          <w:sz w:val="28"/>
          <w:szCs w:val="28"/>
          <w:u w:val="single"/>
        </w:rPr>
      </w:pPr>
      <w:r w:rsidRPr="00E25755">
        <w:rPr>
          <w:rFonts w:cs="Arial"/>
          <w:sz w:val="20"/>
          <w:szCs w:val="20"/>
        </w:rPr>
        <w:t>†</w:t>
      </w:r>
      <w:r w:rsidRPr="00E257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Multiple regression analysis </w:t>
      </w:r>
      <w:r w:rsidRPr="00BF2FBD">
        <w:rPr>
          <w:rFonts w:cs="Arial"/>
          <w:sz w:val="20"/>
          <w:szCs w:val="20"/>
        </w:rPr>
        <w:t xml:space="preserve">considering the influence of changes of </w:t>
      </w:r>
      <w:proofErr w:type="spellStart"/>
      <w:r w:rsidRPr="00BF2FBD">
        <w:rPr>
          <w:rFonts w:cs="Arial"/>
          <w:sz w:val="20"/>
          <w:szCs w:val="20"/>
        </w:rPr>
        <w:t>neopterin</w:t>
      </w:r>
      <w:proofErr w:type="spellEnd"/>
      <w:r w:rsidRPr="00BF2FBD">
        <w:rPr>
          <w:rFonts w:cs="Arial"/>
          <w:sz w:val="20"/>
          <w:szCs w:val="20"/>
        </w:rPr>
        <w:t xml:space="preserve"> and CRP on </w:t>
      </w:r>
      <w:r>
        <w:rPr>
          <w:rFonts w:cs="Arial"/>
          <w:sz w:val="20"/>
          <w:szCs w:val="20"/>
        </w:rPr>
        <w:t xml:space="preserve">the </w:t>
      </w:r>
      <w:r w:rsidRPr="00BF2FBD">
        <w:rPr>
          <w:rFonts w:cs="Arial"/>
          <w:sz w:val="20"/>
          <w:szCs w:val="20"/>
        </w:rPr>
        <w:t>CERAD battery</w:t>
      </w:r>
      <w:r>
        <w:rPr>
          <w:rFonts w:cs="Arial"/>
          <w:sz w:val="20"/>
          <w:szCs w:val="20"/>
        </w:rPr>
        <w:t xml:space="preserve"> (</w:t>
      </w:r>
      <w:r w:rsidRPr="00BF2FBD">
        <w:rPr>
          <w:rFonts w:cs="Arial"/>
          <w:sz w:val="20"/>
          <w:szCs w:val="20"/>
        </w:rPr>
        <w:t>controlled for age, gender, A</w:t>
      </w:r>
      <w:r>
        <w:rPr>
          <w:rFonts w:cs="Arial"/>
          <w:sz w:val="20"/>
          <w:szCs w:val="20"/>
        </w:rPr>
        <w:t>poE</w:t>
      </w:r>
      <w:r w:rsidRPr="00BF2FBD">
        <w:rPr>
          <w:rFonts w:cs="Arial"/>
          <w:sz w:val="20"/>
          <w:szCs w:val="20"/>
        </w:rPr>
        <w:t xml:space="preserve">4 presence and </w:t>
      </w:r>
      <w:r>
        <w:rPr>
          <w:rFonts w:cs="Arial"/>
          <w:sz w:val="20"/>
          <w:szCs w:val="20"/>
        </w:rPr>
        <w:t xml:space="preserve">the </w:t>
      </w:r>
      <w:r w:rsidRPr="00BF2FBD">
        <w:rPr>
          <w:rFonts w:cs="Arial"/>
          <w:sz w:val="20"/>
          <w:szCs w:val="20"/>
        </w:rPr>
        <w:t>time interval between both measurements</w:t>
      </w:r>
      <w:r>
        <w:rPr>
          <w:rFonts w:cs="Arial"/>
          <w:sz w:val="20"/>
          <w:szCs w:val="20"/>
        </w:rPr>
        <w:t>)</w:t>
      </w:r>
      <w:r w:rsidRPr="00BF2FBD">
        <w:rPr>
          <w:rFonts w:cs="Arial"/>
          <w:sz w:val="20"/>
          <w:szCs w:val="20"/>
        </w:rPr>
        <w:t xml:space="preserve"> was also performed</w:t>
      </w:r>
      <w:r>
        <w:rPr>
          <w:rFonts w:cs="Arial"/>
          <w:sz w:val="20"/>
          <w:szCs w:val="20"/>
        </w:rPr>
        <w:t>, in addition to the basic correlation analyses detailed in the table above</w:t>
      </w:r>
      <w:r w:rsidRPr="00BF2FB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The c</w:t>
      </w:r>
      <w:r w:rsidRPr="00BF2FBD">
        <w:rPr>
          <w:rFonts w:cs="Arial"/>
          <w:sz w:val="20"/>
          <w:szCs w:val="20"/>
        </w:rPr>
        <w:t xml:space="preserve">hange </w:t>
      </w:r>
      <w:r>
        <w:rPr>
          <w:rFonts w:cs="Arial"/>
          <w:sz w:val="20"/>
          <w:szCs w:val="20"/>
        </w:rPr>
        <w:t>in</w:t>
      </w:r>
      <w:r w:rsidRPr="00BF2FBD">
        <w:rPr>
          <w:rFonts w:cs="Arial"/>
          <w:sz w:val="20"/>
          <w:szCs w:val="20"/>
        </w:rPr>
        <w:t xml:space="preserve"> z-scores </w:t>
      </w:r>
      <w:r>
        <w:rPr>
          <w:rFonts w:cs="Arial"/>
          <w:sz w:val="20"/>
          <w:szCs w:val="20"/>
        </w:rPr>
        <w:t>relating to</w:t>
      </w:r>
      <w:r w:rsidRPr="00BF2FBD">
        <w:rPr>
          <w:rFonts w:cs="Arial"/>
          <w:sz w:val="20"/>
          <w:szCs w:val="20"/>
        </w:rPr>
        <w:t xml:space="preserve"> each of the subsections of the CERAD battery and the total sum of all </w:t>
      </w:r>
      <w:r>
        <w:rPr>
          <w:rFonts w:cs="Arial"/>
          <w:sz w:val="20"/>
          <w:szCs w:val="20"/>
        </w:rPr>
        <w:t>seven</w:t>
      </w:r>
      <w:r w:rsidRPr="00BF2FBD">
        <w:rPr>
          <w:rFonts w:cs="Arial"/>
          <w:sz w:val="20"/>
          <w:szCs w:val="20"/>
        </w:rPr>
        <w:t xml:space="preserve"> CERAD z-scores were considered as dependent variables.</w:t>
      </w:r>
      <w:r>
        <w:rPr>
          <w:rFonts w:cs="Arial"/>
          <w:sz w:val="20"/>
          <w:szCs w:val="20"/>
        </w:rPr>
        <w:t xml:space="preserve"> </w:t>
      </w:r>
      <w:r w:rsidRPr="00BF2FBD">
        <w:rPr>
          <w:rFonts w:cs="Arial"/>
          <w:sz w:val="20"/>
          <w:szCs w:val="20"/>
        </w:rPr>
        <w:t xml:space="preserve">The regression with variable </w:t>
      </w:r>
      <w:r w:rsidRPr="00E31897">
        <w:rPr>
          <w:rFonts w:cs="Arial"/>
          <w:sz w:val="20"/>
          <w:szCs w:val="20"/>
        </w:rPr>
        <w:t>MMSE</w:t>
      </w:r>
      <w:r w:rsidRPr="00BF2FBD">
        <w:rPr>
          <w:rFonts w:cs="Arial"/>
          <w:sz w:val="20"/>
          <w:szCs w:val="20"/>
        </w:rPr>
        <w:t xml:space="preserve">, constructive praxis immediate recall and sum of all CERAD </w:t>
      </w:r>
      <w:proofErr w:type="spellStart"/>
      <w:r w:rsidRPr="00BF2FBD">
        <w:rPr>
          <w:rFonts w:cs="Arial"/>
          <w:sz w:val="20"/>
          <w:szCs w:val="20"/>
        </w:rPr>
        <w:t>subscores</w:t>
      </w:r>
      <w:proofErr w:type="spellEnd"/>
      <w:r w:rsidRPr="00BF2FBD">
        <w:rPr>
          <w:rFonts w:cs="Arial"/>
          <w:sz w:val="20"/>
          <w:szCs w:val="20"/>
        </w:rPr>
        <w:t xml:space="preserve"> were significantly associated with an increase of </w:t>
      </w:r>
      <w:proofErr w:type="spellStart"/>
      <w:r w:rsidRPr="00BF2FBD">
        <w:rPr>
          <w:rFonts w:cs="Arial"/>
          <w:sz w:val="20"/>
          <w:szCs w:val="20"/>
        </w:rPr>
        <w:t>neopterin</w:t>
      </w:r>
      <w:proofErr w:type="spellEnd"/>
      <w:r w:rsidRPr="00BF2FBD">
        <w:rPr>
          <w:rFonts w:cs="Arial"/>
          <w:sz w:val="20"/>
          <w:szCs w:val="20"/>
        </w:rPr>
        <w:t xml:space="preserve"> (P=0.009-0.036) and also with a d</w:t>
      </w:r>
      <w:r>
        <w:rPr>
          <w:rFonts w:cs="Arial"/>
          <w:sz w:val="20"/>
          <w:szCs w:val="20"/>
        </w:rPr>
        <w:t>ecrease in CRP (P=0.008-0.037). The paper fails to state what the outcome of the regression was when the total CERAD battery score was the dependent variable.</w:t>
      </w:r>
    </w:p>
    <w:p w:rsidR="00A914DE" w:rsidRPr="00421971" w:rsidRDefault="00A914DE" w:rsidP="0060676C">
      <w:pPr>
        <w:spacing w:after="0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cs="Arial"/>
          <w:sz w:val="20"/>
          <w:szCs w:val="20"/>
        </w:rPr>
        <w:t>‡</w:t>
      </w:r>
      <w:r>
        <w:rPr>
          <w:rFonts w:cs="Arial"/>
          <w:sz w:val="20"/>
          <w:szCs w:val="20"/>
        </w:rPr>
        <w:tab/>
        <w:t>Exact number of patients included not clear, but does state examined a subgroup with late-onset Alzheimer’s disease.</w:t>
      </w:r>
    </w:p>
    <w:p w:rsidR="00A914DE" w:rsidRPr="00421971" w:rsidRDefault="00A914DE" w:rsidP="0060676C">
      <w:pPr>
        <w:spacing w:after="0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cs="Arial"/>
          <w:sz w:val="20"/>
          <w:szCs w:val="20"/>
        </w:rPr>
        <w:t>§</w:t>
      </w:r>
      <w:r>
        <w:rPr>
          <w:rFonts w:cs="Arial"/>
          <w:sz w:val="20"/>
          <w:szCs w:val="20"/>
        </w:rPr>
        <w:tab/>
        <w:t>Exact number of patients included not clear, but does state examined a subgroup of female patients with late-onset Alzheimer’s disease.</w:t>
      </w:r>
    </w:p>
    <w:p w:rsidR="00A914DE" w:rsidRDefault="00A914DE" w:rsidP="0060676C">
      <w:pPr>
        <w:spacing w:after="0"/>
        <w:ind w:left="720" w:hanging="720"/>
        <w:rPr>
          <w:rFonts w:cs="Arial"/>
          <w:sz w:val="20"/>
          <w:szCs w:val="20"/>
        </w:rPr>
      </w:pPr>
      <w:r w:rsidRPr="00E25755">
        <w:rPr>
          <w:rFonts w:eastAsia="Times New Roman" w:cs="Arial"/>
          <w:color w:val="000000"/>
          <w:sz w:val="20"/>
          <w:szCs w:val="20"/>
          <w:lang w:eastAsia="en-GB"/>
        </w:rPr>
        <w:t>•</w:t>
      </w:r>
      <w:r w:rsidRPr="00E25755">
        <w:rPr>
          <w:rFonts w:eastAsia="Times New Roman" w:cs="Arial"/>
          <w:color w:val="000000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</w:rPr>
        <w:t>The</w:t>
      </w:r>
      <w:r w:rsidRPr="0042523D">
        <w:rPr>
          <w:rFonts w:cs="Arial"/>
          <w:sz w:val="20"/>
          <w:szCs w:val="20"/>
        </w:rPr>
        <w:t xml:space="preserve"> homeostasis model assessment </w:t>
      </w:r>
      <w:r>
        <w:rPr>
          <w:rFonts w:cs="Arial"/>
          <w:sz w:val="20"/>
          <w:szCs w:val="20"/>
        </w:rPr>
        <w:t xml:space="preserve">(HOMA) is </w:t>
      </w:r>
      <w:r w:rsidRPr="0042523D">
        <w:rPr>
          <w:rFonts w:cs="Arial"/>
          <w:sz w:val="20"/>
          <w:szCs w:val="20"/>
        </w:rPr>
        <w:t xml:space="preserve">an estimate of steady state beta cell function and insulin sensitivity based on serum glucose </w:t>
      </w:r>
      <w:r>
        <w:rPr>
          <w:rFonts w:cs="Arial"/>
          <w:sz w:val="20"/>
          <w:szCs w:val="20"/>
        </w:rPr>
        <w:t>and plasma insulin measurements.</w:t>
      </w:r>
    </w:p>
    <w:p w:rsidR="00A914DE" w:rsidRDefault="00A914DE" w:rsidP="0060676C">
      <w:pPr>
        <w:spacing w:after="0"/>
        <w:ind w:left="720" w:hanging="720"/>
        <w:rPr>
          <w:rFonts w:cs="Arial"/>
          <w:sz w:val="20"/>
          <w:szCs w:val="20"/>
        </w:rPr>
      </w:pPr>
    </w:p>
    <w:p w:rsidR="00A914DE" w:rsidRPr="00E25755" w:rsidRDefault="00A914DE" w:rsidP="0060676C">
      <w:pPr>
        <w:spacing w:after="0"/>
        <w:rPr>
          <w:rFonts w:cs="Arial"/>
          <w:sz w:val="20"/>
          <w:szCs w:val="20"/>
        </w:rPr>
      </w:pPr>
      <w:r w:rsidRPr="00E25755">
        <w:rPr>
          <w:rFonts w:cs="Arial"/>
          <w:sz w:val="20"/>
          <w:szCs w:val="20"/>
        </w:rPr>
        <w:t>Superscript numbers correspond to the list of references</w:t>
      </w:r>
    </w:p>
    <w:p w:rsidR="00A914DE" w:rsidRPr="004941C1" w:rsidRDefault="00A914DE" w:rsidP="0060676C">
      <w:pPr>
        <w:spacing w:after="0"/>
        <w:rPr>
          <w:rFonts w:cs="Arial"/>
          <w:b/>
          <w:sz w:val="20"/>
          <w:szCs w:val="20"/>
          <w:u w:val="single"/>
        </w:rPr>
      </w:pPr>
    </w:p>
    <w:p w:rsidR="00A914DE" w:rsidRPr="00512A41" w:rsidRDefault="00A914DE" w:rsidP="0060676C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Correlations</w:t>
      </w:r>
    </w:p>
    <w:p w:rsidR="00A914DE" w:rsidRDefault="00A914DE" w:rsidP="0060676C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Pearson’s correlation coefficient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</w:t>
      </w:r>
    </w:p>
    <w:p w:rsidR="00A914DE" w:rsidRDefault="00A914DE" w:rsidP="0060676C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Spearman’s correlation coefficient</w:t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R</w:t>
      </w:r>
      <w:r w:rsidRPr="00D852E2">
        <w:rPr>
          <w:rFonts w:cs="Arial"/>
          <w:sz w:val="20"/>
          <w:szCs w:val="20"/>
          <w:vertAlign w:val="subscript"/>
        </w:rPr>
        <w:t>s</w:t>
      </w:r>
      <w:proofErr w:type="spellEnd"/>
    </w:p>
    <w:p w:rsidR="00A914DE" w:rsidRDefault="00A914DE" w:rsidP="0060676C">
      <w:pPr>
        <w:spacing w:after="0"/>
        <w:rPr>
          <w:rFonts w:cs="Arial"/>
          <w:sz w:val="20"/>
          <w:szCs w:val="20"/>
        </w:rPr>
      </w:pPr>
    </w:p>
    <w:p w:rsidR="00A914DE" w:rsidRPr="00E25755" w:rsidRDefault="00A914DE" w:rsidP="0060676C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NSA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 xml:space="preserve">No significant </w:t>
      </w:r>
      <w:r>
        <w:rPr>
          <w:rFonts w:cs="Arial"/>
          <w:sz w:val="20"/>
          <w:szCs w:val="20"/>
        </w:rPr>
        <w:t>association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>No symbol:</w:t>
      </w:r>
      <w:r w:rsidRPr="00E25755">
        <w:rPr>
          <w:rFonts w:cs="Arial"/>
          <w:sz w:val="20"/>
          <w:szCs w:val="20"/>
        </w:rPr>
        <w:tab/>
        <w:t xml:space="preserve">P not significant, but actual value not stated 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</w:p>
    <w:p w:rsidR="00A914DE" w:rsidRPr="00E25755" w:rsidRDefault="00A914DE" w:rsidP="0060676C">
      <w:pPr>
        <w:spacing w:after="0"/>
        <w:rPr>
          <w:rFonts w:cs="Arial"/>
          <w:sz w:val="20"/>
          <w:szCs w:val="20"/>
        </w:rPr>
      </w:pPr>
      <w:r w:rsidRPr="00E25755">
        <w:rPr>
          <w:rFonts w:cs="Arial"/>
          <w:sz w:val="20"/>
          <w:szCs w:val="20"/>
        </w:rPr>
        <w:t>POS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 xml:space="preserve">Significant positive </w:t>
      </w:r>
      <w:r>
        <w:rPr>
          <w:rFonts w:cs="Arial"/>
          <w:sz w:val="20"/>
          <w:szCs w:val="20"/>
        </w:rPr>
        <w:t>association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 xml:space="preserve"> ◘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 xml:space="preserve">P ≥ 0.05 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</w:p>
    <w:p w:rsidR="00A914DE" w:rsidRDefault="00A914DE" w:rsidP="0060676C">
      <w:pPr>
        <w:spacing w:after="0"/>
        <w:rPr>
          <w:rFonts w:cs="Arial"/>
          <w:sz w:val="20"/>
          <w:szCs w:val="20"/>
          <w:vertAlign w:val="superscript"/>
        </w:rPr>
      </w:pPr>
      <w:r w:rsidRPr="00E25755">
        <w:rPr>
          <w:rFonts w:cs="Arial"/>
          <w:sz w:val="20"/>
          <w:szCs w:val="20"/>
        </w:rPr>
        <w:t>NEG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 xml:space="preserve">Significant negative </w:t>
      </w:r>
      <w:r>
        <w:rPr>
          <w:rFonts w:cs="Arial"/>
          <w:sz w:val="20"/>
          <w:szCs w:val="20"/>
        </w:rPr>
        <w:t>association</w:t>
      </w:r>
      <w:r>
        <w:rPr>
          <w:rFonts w:cs="Arial"/>
          <w:sz w:val="20"/>
          <w:szCs w:val="20"/>
          <w:vertAlign w:val="superscript"/>
        </w:rPr>
        <w:tab/>
      </w:r>
      <w:r>
        <w:rPr>
          <w:rFonts w:cs="Arial"/>
          <w:sz w:val="20"/>
          <w:szCs w:val="20"/>
          <w:vertAlign w:val="superscript"/>
        </w:rPr>
        <w:tab/>
      </w:r>
      <w:r>
        <w:rPr>
          <w:rFonts w:cs="Arial"/>
          <w:sz w:val="20"/>
          <w:szCs w:val="20"/>
          <w:vertAlign w:val="superscript"/>
        </w:rPr>
        <w:tab/>
      </w:r>
      <w:r w:rsidRPr="00E25755">
        <w:rPr>
          <w:rFonts w:cs="Arial"/>
          <w:sz w:val="20"/>
          <w:szCs w:val="20"/>
          <w:vertAlign w:val="superscript"/>
        </w:rPr>
        <w:t>(</w:t>
      </w:r>
      <w:r w:rsidRPr="00E25755">
        <w:rPr>
          <w:rFonts w:cs="Arial"/>
          <w:sz w:val="20"/>
          <w:szCs w:val="20"/>
        </w:rPr>
        <w:t>*</w:t>
      </w:r>
      <w:r w:rsidRPr="00E25755">
        <w:rPr>
          <w:rFonts w:cs="Arial"/>
          <w:sz w:val="20"/>
          <w:szCs w:val="20"/>
          <w:vertAlign w:val="superscript"/>
        </w:rPr>
        <w:t>)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 xml:space="preserve">P significant, but actual value not stated 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</w:r>
    </w:p>
    <w:p w:rsidR="00A914DE" w:rsidRPr="006E3C10" w:rsidRDefault="00A914DE" w:rsidP="0060676C">
      <w:pPr>
        <w:spacing w:after="0"/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</w:rPr>
        <w:t>SIG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Significant association direction not stated</w:t>
      </w:r>
      <w:r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>*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>P &lt; 0.05</w:t>
      </w:r>
    </w:p>
    <w:p w:rsidR="00A914DE" w:rsidRPr="00E25755" w:rsidRDefault="00A914DE" w:rsidP="0060676C">
      <w:pPr>
        <w:spacing w:after="0"/>
        <w:ind w:left="5040" w:firstLine="720"/>
        <w:rPr>
          <w:rFonts w:cs="Arial"/>
          <w:sz w:val="20"/>
          <w:szCs w:val="20"/>
        </w:rPr>
      </w:pPr>
      <w:r w:rsidRPr="00E25755">
        <w:rPr>
          <w:rFonts w:cs="Arial"/>
          <w:sz w:val="20"/>
          <w:szCs w:val="20"/>
        </w:rPr>
        <w:t>**</w:t>
      </w:r>
      <w:r w:rsidRPr="00E25755"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ab/>
        <w:t>P &lt; 0.01</w:t>
      </w:r>
    </w:p>
    <w:p w:rsidR="00A914DE" w:rsidRPr="004941C1" w:rsidRDefault="00A914DE" w:rsidP="0060676C">
      <w:pPr>
        <w:spacing w:after="0"/>
        <w:ind w:left="5040" w:firstLine="720"/>
        <w:rPr>
          <w:rFonts w:cs="Arial"/>
          <w:sz w:val="20"/>
          <w:szCs w:val="20"/>
        </w:rPr>
      </w:pPr>
      <w:r w:rsidRPr="00E25755">
        <w:rPr>
          <w:rFonts w:cs="Arial"/>
          <w:sz w:val="20"/>
          <w:szCs w:val="20"/>
        </w:rPr>
        <w:t>***</w:t>
      </w:r>
      <w:r w:rsidRPr="00E257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25755">
        <w:rPr>
          <w:rFonts w:cs="Arial"/>
          <w:sz w:val="20"/>
          <w:szCs w:val="20"/>
        </w:rPr>
        <w:t>P &lt; 0.001</w:t>
      </w:r>
    </w:p>
    <w:p w:rsidR="00A914DE" w:rsidRDefault="00A914DE" w:rsidP="0060676C">
      <w:pPr>
        <w:spacing w:after="0"/>
        <w:rPr>
          <w:rFonts w:cs="Arial"/>
          <w:b/>
          <w:sz w:val="20"/>
          <w:szCs w:val="20"/>
        </w:rPr>
      </w:pPr>
    </w:p>
    <w:p w:rsidR="00A914DE" w:rsidRPr="002954AA" w:rsidRDefault="00A914DE" w:rsidP="0060676C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Clinical Rating Scales</w:t>
      </w:r>
    </w:p>
    <w:p w:rsidR="00A914DE" w:rsidRPr="0025143D" w:rsidRDefault="00A914DE" w:rsidP="0060676C">
      <w:pPr>
        <w:spacing w:after="0"/>
        <w:rPr>
          <w:rFonts w:cs="Arial"/>
          <w:color w:val="000000" w:themeColor="text1"/>
          <w:sz w:val="20"/>
          <w:szCs w:val="20"/>
        </w:rPr>
      </w:pPr>
      <w:r w:rsidRPr="0025143D">
        <w:rPr>
          <w:rFonts w:cs="Arial"/>
          <w:color w:val="000000" w:themeColor="text1"/>
          <w:sz w:val="20"/>
          <w:szCs w:val="20"/>
        </w:rPr>
        <w:t>CERAD battery</w:t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  <w:t xml:space="preserve">Consortium to Establish a Registry for </w:t>
      </w:r>
      <w:proofErr w:type="gramStart"/>
      <w:r w:rsidRPr="0025143D">
        <w:rPr>
          <w:rFonts w:cs="Arial"/>
          <w:color w:val="000000" w:themeColor="text1"/>
          <w:sz w:val="20"/>
          <w:szCs w:val="20"/>
        </w:rPr>
        <w:t>Alzheimer’s Disease</w:t>
      </w:r>
      <w:proofErr w:type="gramEnd"/>
      <w:r w:rsidRPr="0025143D">
        <w:rPr>
          <w:rFonts w:cs="Arial"/>
          <w:color w:val="000000" w:themeColor="text1"/>
          <w:sz w:val="20"/>
          <w:szCs w:val="20"/>
        </w:rPr>
        <w:t xml:space="preserve"> battery total score</w:t>
      </w:r>
      <w:r w:rsidR="00EB1E4E">
        <w:rPr>
          <w:rFonts w:cs="Arial"/>
          <w:noProof/>
          <w:color w:val="000000" w:themeColor="text1"/>
          <w:sz w:val="20"/>
          <w:szCs w:val="20"/>
          <w:vertAlign w:val="superscript"/>
        </w:rPr>
        <w:t>8</w:t>
      </w:r>
      <w:r w:rsidRPr="0025143D">
        <w:rPr>
          <w:rFonts w:cs="Arial"/>
          <w:color w:val="000000" w:themeColor="text1"/>
          <w:sz w:val="20"/>
          <w:szCs w:val="20"/>
        </w:rPr>
        <w:tab/>
      </w:r>
    </w:p>
    <w:p w:rsidR="00A914DE" w:rsidRPr="0025143D" w:rsidRDefault="00A914DE" w:rsidP="0060676C">
      <w:pPr>
        <w:spacing w:after="0"/>
        <w:rPr>
          <w:rFonts w:cs="Arial"/>
          <w:color w:val="000000" w:themeColor="text1"/>
          <w:sz w:val="20"/>
          <w:szCs w:val="20"/>
        </w:rPr>
      </w:pPr>
      <w:r w:rsidRPr="0025143D">
        <w:rPr>
          <w:rFonts w:cs="Arial"/>
          <w:color w:val="000000" w:themeColor="text1"/>
          <w:sz w:val="20"/>
          <w:szCs w:val="20"/>
        </w:rPr>
        <w:t>CIBIC+</w:t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  <w:t xml:space="preserve">Clinician Interview-Based Impression of Change with Caregiver </w:t>
      </w:r>
      <w:r w:rsidRPr="0025143D">
        <w:rPr>
          <w:rFonts w:cs="Arial"/>
          <w:sz w:val="20"/>
          <w:szCs w:val="20"/>
        </w:rPr>
        <w:t>Input</w:t>
      </w:r>
      <w:r w:rsidRPr="0025143D">
        <w:rPr>
          <w:rFonts w:cs="Arial"/>
          <w:color w:val="000000" w:themeColor="text1"/>
          <w:sz w:val="20"/>
          <w:szCs w:val="20"/>
        </w:rPr>
        <w:t xml:space="preserve"> (ADCS version</w:t>
      </w:r>
      <w:proofErr w:type="gramStart"/>
      <w:r w:rsidRPr="0025143D">
        <w:rPr>
          <w:rFonts w:cs="Arial"/>
          <w:color w:val="000000" w:themeColor="text1"/>
          <w:sz w:val="20"/>
          <w:szCs w:val="20"/>
        </w:rPr>
        <w:t>)</w:t>
      </w:r>
      <w:r w:rsidR="00EB1E4E">
        <w:rPr>
          <w:rFonts w:cs="Arial"/>
          <w:noProof/>
          <w:color w:val="000000" w:themeColor="text1"/>
          <w:sz w:val="20"/>
          <w:szCs w:val="20"/>
          <w:vertAlign w:val="superscript"/>
        </w:rPr>
        <w:t>9</w:t>
      </w:r>
      <w:proofErr w:type="gramEnd"/>
    </w:p>
    <w:p w:rsidR="00A914DE" w:rsidRPr="0025143D" w:rsidRDefault="00A914DE" w:rsidP="0060676C">
      <w:pPr>
        <w:spacing w:after="0"/>
        <w:rPr>
          <w:rFonts w:cs="Arial"/>
          <w:color w:val="000000" w:themeColor="text1"/>
          <w:sz w:val="20"/>
          <w:szCs w:val="20"/>
        </w:rPr>
      </w:pPr>
      <w:r w:rsidRPr="0025143D">
        <w:rPr>
          <w:rFonts w:cs="Arial"/>
          <w:color w:val="000000" w:themeColor="text1"/>
          <w:sz w:val="20"/>
          <w:szCs w:val="20"/>
        </w:rPr>
        <w:t>DAD</w:t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  <w:t xml:space="preserve">Disability assessment for </w:t>
      </w:r>
      <w:r>
        <w:rPr>
          <w:rFonts w:cs="Arial"/>
          <w:color w:val="000000" w:themeColor="text1"/>
          <w:sz w:val="20"/>
          <w:szCs w:val="20"/>
        </w:rPr>
        <w:t>D</w:t>
      </w:r>
      <w:r w:rsidRPr="0025143D">
        <w:rPr>
          <w:rFonts w:cs="Arial"/>
          <w:color w:val="000000" w:themeColor="text1"/>
          <w:sz w:val="20"/>
          <w:szCs w:val="20"/>
        </w:rPr>
        <w:t>ementia</w:t>
      </w:r>
      <w:r w:rsidR="00EB1E4E">
        <w:rPr>
          <w:rFonts w:cs="Arial"/>
          <w:noProof/>
          <w:color w:val="000000" w:themeColor="text1"/>
          <w:sz w:val="20"/>
          <w:szCs w:val="20"/>
          <w:vertAlign w:val="superscript"/>
        </w:rPr>
        <w:t>10</w:t>
      </w:r>
    </w:p>
    <w:p w:rsidR="00A914DE" w:rsidRPr="0025143D" w:rsidRDefault="00A914DE" w:rsidP="0060676C">
      <w:pPr>
        <w:spacing w:after="0"/>
        <w:rPr>
          <w:rFonts w:cs="Arial"/>
          <w:color w:val="000000" w:themeColor="text1"/>
          <w:sz w:val="20"/>
          <w:szCs w:val="20"/>
        </w:rPr>
      </w:pPr>
      <w:r w:rsidRPr="0025143D">
        <w:rPr>
          <w:rFonts w:cs="Arial"/>
          <w:color w:val="000000" w:themeColor="text1"/>
          <w:sz w:val="20"/>
          <w:szCs w:val="20"/>
        </w:rPr>
        <w:t>MMSE</w:t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</w:r>
      <w:r w:rsidRPr="0025143D">
        <w:rPr>
          <w:rFonts w:cs="Arial"/>
          <w:color w:val="000000" w:themeColor="text1"/>
          <w:sz w:val="20"/>
          <w:szCs w:val="20"/>
        </w:rPr>
        <w:tab/>
        <w:t>Mini-Mental State Examination</w:t>
      </w:r>
      <w:r w:rsidR="00EB1E4E">
        <w:rPr>
          <w:rFonts w:cs="Arial"/>
          <w:noProof/>
          <w:color w:val="000000" w:themeColor="text1"/>
          <w:sz w:val="20"/>
          <w:szCs w:val="20"/>
          <w:vertAlign w:val="superscript"/>
        </w:rPr>
        <w:t>11</w:t>
      </w:r>
    </w:p>
    <w:p w:rsidR="00257CB0" w:rsidRPr="00EB1E4E" w:rsidRDefault="00A914DE" w:rsidP="00EB1E4E">
      <w:pPr>
        <w:spacing w:after="0"/>
        <w:rPr>
          <w:rFonts w:cs="Arial"/>
          <w:sz w:val="20"/>
          <w:szCs w:val="20"/>
        </w:rPr>
      </w:pPr>
      <w:r w:rsidRPr="0025143D">
        <w:rPr>
          <w:rFonts w:cs="Arial"/>
          <w:color w:val="000000" w:themeColor="text1"/>
          <w:sz w:val="20"/>
          <w:szCs w:val="20"/>
        </w:rPr>
        <w:t>Modified ADAS</w:t>
      </w:r>
      <w:r>
        <w:rPr>
          <w:rFonts w:cs="Arial"/>
          <w:sz w:val="20"/>
          <w:szCs w:val="20"/>
        </w:rPr>
        <w:t xml:space="preserve">-cog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Modified Alzheimer’s Disease Assessment Scale – cognitive subpart</w:t>
      </w:r>
      <w:r w:rsidR="00EB1E4E">
        <w:rPr>
          <w:rFonts w:cs="Arial"/>
          <w:noProof/>
          <w:sz w:val="20"/>
          <w:szCs w:val="20"/>
          <w:vertAlign w:val="superscript"/>
        </w:rPr>
        <w:t>12</w:t>
      </w:r>
      <w:bookmarkStart w:id="2" w:name="_GoBack"/>
      <w:bookmarkEnd w:id="2"/>
      <w:r>
        <w:rPr>
          <w:rFonts w:cs="Arial"/>
          <w:sz w:val="20"/>
          <w:szCs w:val="20"/>
        </w:rPr>
        <w:t xml:space="preserve"> (modified as</w:t>
      </w:r>
      <w:r w:rsidR="00EB1E4E">
        <w:rPr>
          <w:rFonts w:cs="Arial"/>
          <w:sz w:val="20"/>
          <w:szCs w:val="20"/>
        </w:rPr>
        <w:t xml:space="preserve"> word recognition test omitted)</w:t>
      </w:r>
    </w:p>
    <w:p w:rsidR="00F45CB3" w:rsidRPr="00227F06" w:rsidRDefault="009A6AF3" w:rsidP="00227F06">
      <w:pPr>
        <w:rPr>
          <w:rFonts w:cs="Arial"/>
          <w:b/>
          <w:noProof/>
          <w:sz w:val="28"/>
          <w:szCs w:val="28"/>
        </w:rPr>
      </w:pPr>
      <w:r w:rsidRPr="009A6AF3">
        <w:rPr>
          <w:rFonts w:cs="Arial"/>
          <w:b/>
          <w:noProof/>
          <w:sz w:val="28"/>
          <w:szCs w:val="28"/>
        </w:rPr>
        <w:lastRenderedPageBreak/>
        <w:t>References</w:t>
      </w:r>
    </w:p>
    <w:p w:rsidR="00F45CB3" w:rsidRDefault="00F45CB3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 xml:space="preserve">1. </w:t>
      </w:r>
      <w:r>
        <w:rPr>
          <w:rFonts w:cs="Arial"/>
          <w:noProof/>
          <w:sz w:val="24"/>
          <w:szCs w:val="20"/>
        </w:rPr>
        <w:tab/>
        <w:t>Baskin F, Rosenberg RN, Iyer L, Hynan L, Cullum CM (2000) Platelet APP isoform ratios correlate with declining cognition in AD. Neurology 54: 1907-1909.</w:t>
      </w:r>
    </w:p>
    <w:p w:rsidR="00F45CB3" w:rsidRDefault="00F45CB3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 xml:space="preserve">2. </w:t>
      </w:r>
      <w:r>
        <w:rPr>
          <w:rFonts w:cs="Arial"/>
          <w:noProof/>
          <w:sz w:val="24"/>
          <w:szCs w:val="20"/>
        </w:rPr>
        <w:tab/>
        <w:t xml:space="preserve">Borroni B, Colciaghi F, Pastorino L, Pettenati C, Cottini E, </w:t>
      </w:r>
      <w:r w:rsidR="005A58F7">
        <w:rPr>
          <w:rFonts w:cs="Arial"/>
          <w:noProof/>
          <w:sz w:val="24"/>
          <w:szCs w:val="20"/>
        </w:rPr>
        <w:t>et al.</w:t>
      </w:r>
      <w:r>
        <w:rPr>
          <w:rFonts w:cs="Arial"/>
          <w:noProof/>
          <w:sz w:val="24"/>
          <w:szCs w:val="20"/>
        </w:rPr>
        <w:t xml:space="preserve"> (2001) Amyloid precursor protein in platelets of patients with Alzheimer disease: effect of acetylcholinesterase inhibitor treatment. Arch Neurol 58: 442-446.</w:t>
      </w:r>
    </w:p>
    <w:p w:rsidR="00F45CB3" w:rsidRDefault="00F45CB3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 xml:space="preserve">3. </w:t>
      </w:r>
      <w:r>
        <w:rPr>
          <w:rFonts w:cs="Arial"/>
          <w:noProof/>
          <w:sz w:val="24"/>
          <w:szCs w:val="20"/>
        </w:rPr>
        <w:tab/>
        <w:t xml:space="preserve">Liu HC, Wang HC, Ko SY, Wang PN, Chi CW, </w:t>
      </w:r>
      <w:r w:rsidR="005A58F7">
        <w:rPr>
          <w:rFonts w:cs="Arial"/>
          <w:noProof/>
          <w:sz w:val="24"/>
          <w:szCs w:val="20"/>
        </w:rPr>
        <w:t>et al.</w:t>
      </w:r>
      <w:r>
        <w:rPr>
          <w:rFonts w:cs="Arial"/>
          <w:noProof/>
          <w:sz w:val="24"/>
          <w:szCs w:val="20"/>
        </w:rPr>
        <w:t xml:space="preserve"> (2007) Correlation between platelet amyloid precursor protein isoform ratio and cognition in Alzheimer's disease. J Alzheimers Dis 11: 77-84.</w:t>
      </w:r>
    </w:p>
    <w:p w:rsidR="00F45CB3" w:rsidRDefault="00F45CB3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 xml:space="preserve">4. </w:t>
      </w:r>
      <w:r>
        <w:rPr>
          <w:rFonts w:cs="Arial"/>
          <w:noProof/>
          <w:sz w:val="24"/>
          <w:szCs w:val="20"/>
        </w:rPr>
        <w:tab/>
        <w:t xml:space="preserve">Blasko I, Knaus G, </w:t>
      </w:r>
      <w:r w:rsidR="005A58F7">
        <w:rPr>
          <w:rFonts w:cs="Arial"/>
          <w:noProof/>
          <w:sz w:val="24"/>
          <w:szCs w:val="20"/>
        </w:rPr>
        <w:t>Weiss E, Kemmler G, Winkler C, et al.</w:t>
      </w:r>
      <w:r>
        <w:rPr>
          <w:rFonts w:cs="Arial"/>
          <w:noProof/>
          <w:sz w:val="24"/>
          <w:szCs w:val="20"/>
        </w:rPr>
        <w:t xml:space="preserve"> (2007) Cognitive deterioration in Alzheimer's disease is accompanied by increase of plasma neopteri</w:t>
      </w:r>
      <w:r w:rsidR="005A58F7">
        <w:rPr>
          <w:rFonts w:cs="Arial"/>
          <w:noProof/>
          <w:sz w:val="24"/>
          <w:szCs w:val="20"/>
        </w:rPr>
        <w:t>n. J Psychiatr Res 41: 694-701.</w:t>
      </w:r>
    </w:p>
    <w:p w:rsidR="00F45CB3" w:rsidRDefault="00F45CB3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 xml:space="preserve">5. </w:t>
      </w:r>
      <w:r>
        <w:rPr>
          <w:rFonts w:cs="Arial"/>
          <w:noProof/>
          <w:sz w:val="24"/>
          <w:szCs w:val="20"/>
        </w:rPr>
        <w:tab/>
        <w:t xml:space="preserve">Alvarez XA, Sampedro C, Cacabelos R, Linares C, Aleixandre M, </w:t>
      </w:r>
      <w:r w:rsidR="005A58F7">
        <w:rPr>
          <w:rFonts w:cs="Arial"/>
          <w:noProof/>
          <w:sz w:val="24"/>
          <w:szCs w:val="20"/>
        </w:rPr>
        <w:t>et al.</w:t>
      </w:r>
      <w:r>
        <w:rPr>
          <w:rFonts w:cs="Arial"/>
          <w:noProof/>
          <w:sz w:val="24"/>
          <w:szCs w:val="20"/>
        </w:rPr>
        <w:t xml:space="preserve"> (2009) Reduced TNF-alpha and increased IGF-I levels in the serum of Alzheimer's disease patients treated with the neurotrophic agent cerebrolysin. Int J Ne</w:t>
      </w:r>
      <w:r w:rsidR="005A58F7">
        <w:rPr>
          <w:rFonts w:cs="Arial"/>
          <w:noProof/>
          <w:sz w:val="24"/>
          <w:szCs w:val="20"/>
        </w:rPr>
        <w:t>uropsychopharmacol 12: 867-872.</w:t>
      </w:r>
    </w:p>
    <w:p w:rsidR="00F45CB3" w:rsidRDefault="00F45CB3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 xml:space="preserve">6. </w:t>
      </w:r>
      <w:r>
        <w:rPr>
          <w:rFonts w:cs="Arial"/>
          <w:noProof/>
          <w:sz w:val="24"/>
          <w:szCs w:val="20"/>
        </w:rPr>
        <w:tab/>
        <w:t>Isik AT, Bozoglu E (2009) Acetylcholinesterase inhibition and insulin resistance in late onset Alzheimer's disease. I</w:t>
      </w:r>
      <w:r w:rsidR="005A58F7">
        <w:rPr>
          <w:rFonts w:cs="Arial"/>
          <w:noProof/>
          <w:sz w:val="24"/>
          <w:szCs w:val="20"/>
        </w:rPr>
        <w:t>nt Psychogeriatr 21: 1127-1133.</w:t>
      </w:r>
    </w:p>
    <w:p w:rsidR="00F45CB3" w:rsidRDefault="00F45CB3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 xml:space="preserve">7. </w:t>
      </w:r>
      <w:r>
        <w:rPr>
          <w:rFonts w:cs="Arial"/>
          <w:noProof/>
          <w:sz w:val="24"/>
          <w:szCs w:val="20"/>
        </w:rPr>
        <w:tab/>
        <w:t>Weiner MF, Vobach S, Olsson K, Svetlik D, Risser RC (1997) Cortisol secretion and Alzheimer's disease progression. Biol Psychiatry 42: 1030-1038.</w:t>
      </w:r>
    </w:p>
    <w:p w:rsidR="00F45CB3" w:rsidRDefault="00EB1E4E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8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>Welsh K, Butters N, Hughes J, Mohs R, Heyman A (1991) Detection of abnormal memory decline in mild cases of Alzheimer's disease using CERAD neuropsychological measures. Arch Neurol 48: 278-281.</w:t>
      </w:r>
    </w:p>
    <w:p w:rsidR="00F45CB3" w:rsidRDefault="00EB1E4E" w:rsidP="00227F06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9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>Knopman DS, Knapp MJ, Gracon SI, Davis CS (1994) The Clinician Interview-Based Impression (CIBI): a clinician's global change rating scale in Alzheimer's disease. Neurology 44: 2315-2321.</w:t>
      </w:r>
    </w:p>
    <w:p w:rsidR="00F45CB3" w:rsidRDefault="00EB1E4E" w:rsidP="00EB1E4E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lastRenderedPageBreak/>
        <w:tab/>
        <w:t>10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>Gelinas I, Gauthier L, McIntyre M, Gauthier S (1999) Development of a functional measure for persons with Alzheimer's disease: the disability assessment for dementia. Am J Occup Ther 53: 471-481.</w:t>
      </w:r>
    </w:p>
    <w:p w:rsidR="00F45CB3" w:rsidRDefault="00EB1E4E" w:rsidP="00227F06">
      <w:pPr>
        <w:tabs>
          <w:tab w:val="right" w:pos="540"/>
          <w:tab w:val="left" w:pos="720"/>
        </w:tabs>
        <w:spacing w:after="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>11</w:t>
      </w:r>
      <w:r w:rsidR="00F45CB3">
        <w:rPr>
          <w:rFonts w:cs="Arial"/>
          <w:noProof/>
          <w:sz w:val="24"/>
          <w:szCs w:val="20"/>
        </w:rPr>
        <w:t xml:space="preserve">. </w:t>
      </w:r>
      <w:r w:rsidR="00F45CB3">
        <w:rPr>
          <w:rFonts w:cs="Arial"/>
          <w:noProof/>
          <w:sz w:val="24"/>
          <w:szCs w:val="20"/>
        </w:rPr>
        <w:tab/>
        <w:t>Folstein MF, Folstein SE, McHugh PR (1975) "Mini-mental state". A practical method for grading the cognitive state of patients for the clinici</w:t>
      </w:r>
      <w:r w:rsidR="004D3EED">
        <w:rPr>
          <w:rFonts w:cs="Arial"/>
          <w:noProof/>
          <w:sz w:val="24"/>
          <w:szCs w:val="20"/>
        </w:rPr>
        <w:t>an. J Psychiatr Res 12: 189-198.</w:t>
      </w:r>
    </w:p>
    <w:p w:rsidR="00EB1E4E" w:rsidRDefault="00EB1E4E" w:rsidP="00227F06">
      <w:pPr>
        <w:tabs>
          <w:tab w:val="right" w:pos="540"/>
          <w:tab w:val="left" w:pos="720"/>
        </w:tabs>
        <w:spacing w:after="0" w:line="240" w:lineRule="auto"/>
        <w:ind w:left="709" w:hanging="709"/>
        <w:rPr>
          <w:rFonts w:cs="Arial"/>
          <w:noProof/>
          <w:sz w:val="24"/>
          <w:szCs w:val="20"/>
        </w:rPr>
      </w:pPr>
    </w:p>
    <w:p w:rsidR="00EB1E4E" w:rsidRDefault="00EB1E4E" w:rsidP="00EB1E4E">
      <w:pPr>
        <w:tabs>
          <w:tab w:val="right" w:pos="540"/>
          <w:tab w:val="left" w:pos="720"/>
        </w:tabs>
        <w:spacing w:after="240" w:line="240" w:lineRule="auto"/>
        <w:ind w:left="709" w:hanging="709"/>
        <w:rPr>
          <w:rFonts w:cs="Arial"/>
          <w:noProof/>
          <w:sz w:val="24"/>
          <w:szCs w:val="20"/>
        </w:rPr>
      </w:pPr>
      <w:r>
        <w:rPr>
          <w:rFonts w:cs="Arial"/>
          <w:noProof/>
          <w:sz w:val="24"/>
          <w:szCs w:val="20"/>
        </w:rPr>
        <w:tab/>
        <w:t xml:space="preserve">12. </w:t>
      </w:r>
      <w:r>
        <w:rPr>
          <w:rFonts w:cs="Arial"/>
          <w:noProof/>
          <w:sz w:val="24"/>
          <w:szCs w:val="20"/>
        </w:rPr>
        <w:tab/>
        <w:t>Mohs RC, Knopman D, Petersen RC, Ferris SH, Ernesto C, et al. (1997) Development of cognitive instruments for use in clinical trials of antidementia drugs: additions to the Alzheimer's Disease Assessment Scale that broaden its scope. The Alzheimer's Disease Cooperative Study. Alzheimer Dis Assoc Disord 11: S13-S21.</w:t>
      </w:r>
    </w:p>
    <w:p w:rsidR="001B4611" w:rsidRDefault="001B4611" w:rsidP="00227F06">
      <w:pPr>
        <w:ind w:left="709" w:hanging="709"/>
      </w:pPr>
    </w:p>
    <w:sectPr w:rsidR="001B4611" w:rsidSect="0060676C">
      <w:headerReference w:type="default" r:id="rId9"/>
      <w:type w:val="continuous"/>
      <w:pgSz w:w="16838" w:h="11906" w:orient="landscape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6D" w:rsidRDefault="003C536D">
      <w:pPr>
        <w:spacing w:after="0" w:line="240" w:lineRule="auto"/>
      </w:pPr>
      <w:r>
        <w:separator/>
      </w:r>
    </w:p>
  </w:endnote>
  <w:endnote w:type="continuationSeparator" w:id="0">
    <w:p w:rsidR="003C536D" w:rsidRDefault="003C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830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8F7" w:rsidRDefault="005A58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E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58F7" w:rsidRDefault="005A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6D" w:rsidRDefault="003C536D">
      <w:pPr>
        <w:spacing w:after="0" w:line="240" w:lineRule="auto"/>
      </w:pPr>
      <w:r>
        <w:separator/>
      </w:r>
    </w:p>
  </w:footnote>
  <w:footnote w:type="continuationSeparator" w:id="0">
    <w:p w:rsidR="003C536D" w:rsidRDefault="003C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F7" w:rsidRDefault="005A5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02239DC"/>
    <w:multiLevelType w:val="hybridMultilevel"/>
    <w:tmpl w:val="3F12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2B0"/>
    <w:multiLevelType w:val="hybridMultilevel"/>
    <w:tmpl w:val="1B76E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5798C"/>
    <w:multiLevelType w:val="multilevel"/>
    <w:tmpl w:val="9E2A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116E3"/>
    <w:multiLevelType w:val="hybridMultilevel"/>
    <w:tmpl w:val="1040DB44"/>
    <w:lvl w:ilvl="0" w:tplc="1BA85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294E"/>
    <w:multiLevelType w:val="hybridMultilevel"/>
    <w:tmpl w:val="C73A88F2"/>
    <w:lvl w:ilvl="0" w:tplc="4B22D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C17"/>
    <w:multiLevelType w:val="hybridMultilevel"/>
    <w:tmpl w:val="C73A88F2"/>
    <w:lvl w:ilvl="0" w:tplc="4B22D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24C93"/>
    <w:multiLevelType w:val="hybridMultilevel"/>
    <w:tmpl w:val="DF70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94E2F"/>
    <w:multiLevelType w:val="hybridMultilevel"/>
    <w:tmpl w:val="FF3AE14A"/>
    <w:lvl w:ilvl="0" w:tplc="FF9ED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559C"/>
    <w:multiLevelType w:val="hybridMultilevel"/>
    <w:tmpl w:val="0542ED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663C8"/>
    <w:multiLevelType w:val="hybridMultilevel"/>
    <w:tmpl w:val="6BF2B32E"/>
    <w:lvl w:ilvl="0" w:tplc="58505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AF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85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A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0E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2A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8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A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8C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CB4096"/>
    <w:multiLevelType w:val="hybridMultilevel"/>
    <w:tmpl w:val="DF70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E2731"/>
    <w:multiLevelType w:val="hybridMultilevel"/>
    <w:tmpl w:val="66B8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93EF9"/>
    <w:multiLevelType w:val="hybridMultilevel"/>
    <w:tmpl w:val="4B8A6712"/>
    <w:lvl w:ilvl="0" w:tplc="93B40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7BD"/>
    <w:multiLevelType w:val="hybridMultilevel"/>
    <w:tmpl w:val="2B8AA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B2533"/>
    <w:multiLevelType w:val="hybridMultilevel"/>
    <w:tmpl w:val="432693FA"/>
    <w:lvl w:ilvl="0" w:tplc="CE144E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B0187"/>
    <w:multiLevelType w:val="hybridMultilevel"/>
    <w:tmpl w:val="84507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34E1E"/>
    <w:multiLevelType w:val="hybridMultilevel"/>
    <w:tmpl w:val="1B76E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610B7B"/>
    <w:multiLevelType w:val="hybridMultilevel"/>
    <w:tmpl w:val="7554AEE6"/>
    <w:lvl w:ilvl="0" w:tplc="9F228C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172D27"/>
    <w:multiLevelType w:val="multilevel"/>
    <w:tmpl w:val="CEE49D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103D0"/>
    <w:multiLevelType w:val="hybridMultilevel"/>
    <w:tmpl w:val="2B8AA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24323"/>
    <w:multiLevelType w:val="hybridMultilevel"/>
    <w:tmpl w:val="7554AEE6"/>
    <w:lvl w:ilvl="0" w:tplc="9F228C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50F8F"/>
    <w:multiLevelType w:val="hybridMultilevel"/>
    <w:tmpl w:val="DF70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A647A4"/>
    <w:multiLevelType w:val="hybridMultilevel"/>
    <w:tmpl w:val="C73A88F2"/>
    <w:lvl w:ilvl="0" w:tplc="4B22D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04B1E"/>
    <w:multiLevelType w:val="hybridMultilevel"/>
    <w:tmpl w:val="ECFC45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833A41"/>
    <w:multiLevelType w:val="hybridMultilevel"/>
    <w:tmpl w:val="E0EC570A"/>
    <w:lvl w:ilvl="0" w:tplc="90D4A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C38FE"/>
    <w:multiLevelType w:val="hybridMultilevel"/>
    <w:tmpl w:val="C73A88F2"/>
    <w:lvl w:ilvl="0" w:tplc="4B22D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040C2"/>
    <w:multiLevelType w:val="hybridMultilevel"/>
    <w:tmpl w:val="694E6D12"/>
    <w:lvl w:ilvl="0" w:tplc="89D8CD3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D166A"/>
    <w:multiLevelType w:val="hybridMultilevel"/>
    <w:tmpl w:val="049AC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A81CAF"/>
    <w:multiLevelType w:val="hybridMultilevel"/>
    <w:tmpl w:val="3C8E66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DB2529"/>
    <w:multiLevelType w:val="hybridMultilevel"/>
    <w:tmpl w:val="5B4031DA"/>
    <w:lvl w:ilvl="0" w:tplc="50E601E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464E8"/>
    <w:multiLevelType w:val="hybridMultilevel"/>
    <w:tmpl w:val="AA4246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915D6"/>
    <w:multiLevelType w:val="hybridMultilevel"/>
    <w:tmpl w:val="6128CA90"/>
    <w:lvl w:ilvl="0" w:tplc="AAFE69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E301BA"/>
    <w:multiLevelType w:val="multilevel"/>
    <w:tmpl w:val="BAB076A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EB2C50"/>
    <w:multiLevelType w:val="hybridMultilevel"/>
    <w:tmpl w:val="8F54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86326"/>
    <w:multiLevelType w:val="hybridMultilevel"/>
    <w:tmpl w:val="333E2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B081C"/>
    <w:multiLevelType w:val="hybridMultilevel"/>
    <w:tmpl w:val="03A07B90"/>
    <w:lvl w:ilvl="0" w:tplc="3B5801E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97336"/>
    <w:multiLevelType w:val="hybridMultilevel"/>
    <w:tmpl w:val="64F2E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EB4C72"/>
    <w:multiLevelType w:val="hybridMultilevel"/>
    <w:tmpl w:val="DF70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2C3C28"/>
    <w:multiLevelType w:val="hybridMultilevel"/>
    <w:tmpl w:val="DF70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E83138"/>
    <w:multiLevelType w:val="multilevel"/>
    <w:tmpl w:val="E28A8AC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8"/>
  </w:num>
  <w:num w:numId="4">
    <w:abstractNumId w:val="23"/>
  </w:num>
  <w:num w:numId="5">
    <w:abstractNumId w:val="30"/>
  </w:num>
  <w:num w:numId="6">
    <w:abstractNumId w:val="36"/>
  </w:num>
  <w:num w:numId="7">
    <w:abstractNumId w:val="4"/>
  </w:num>
  <w:num w:numId="8">
    <w:abstractNumId w:val="17"/>
  </w:num>
  <w:num w:numId="9">
    <w:abstractNumId w:val="20"/>
  </w:num>
  <w:num w:numId="10">
    <w:abstractNumId w:val="33"/>
  </w:num>
  <w:num w:numId="11">
    <w:abstractNumId w:val="14"/>
  </w:num>
  <w:num w:numId="12">
    <w:abstractNumId w:val="6"/>
  </w:num>
  <w:num w:numId="13">
    <w:abstractNumId w:val="1"/>
  </w:num>
  <w:num w:numId="14">
    <w:abstractNumId w:val="24"/>
  </w:num>
  <w:num w:numId="15">
    <w:abstractNumId w:val="8"/>
  </w:num>
  <w:num w:numId="16">
    <w:abstractNumId w:val="27"/>
  </w:num>
  <w:num w:numId="17">
    <w:abstractNumId w:val="31"/>
  </w:num>
  <w:num w:numId="18">
    <w:abstractNumId w:val="19"/>
  </w:num>
  <w:num w:numId="19">
    <w:abstractNumId w:val="11"/>
  </w:num>
  <w:num w:numId="20">
    <w:abstractNumId w:val="0"/>
  </w:num>
  <w:num w:numId="21">
    <w:abstractNumId w:val="18"/>
  </w:num>
  <w:num w:numId="22">
    <w:abstractNumId w:val="39"/>
  </w:num>
  <w:num w:numId="23">
    <w:abstractNumId w:val="2"/>
  </w:num>
  <w:num w:numId="24">
    <w:abstractNumId w:val="32"/>
  </w:num>
  <w:num w:numId="25">
    <w:abstractNumId w:val="29"/>
  </w:num>
  <w:num w:numId="26">
    <w:abstractNumId w:val="13"/>
  </w:num>
  <w:num w:numId="27">
    <w:abstractNumId w:val="26"/>
  </w:num>
  <w:num w:numId="28">
    <w:abstractNumId w:val="22"/>
  </w:num>
  <w:num w:numId="29">
    <w:abstractNumId w:val="7"/>
  </w:num>
  <w:num w:numId="30">
    <w:abstractNumId w:val="25"/>
  </w:num>
  <w:num w:numId="31">
    <w:abstractNumId w:val="38"/>
  </w:num>
  <w:num w:numId="32">
    <w:abstractNumId w:val="37"/>
  </w:num>
  <w:num w:numId="33">
    <w:abstractNumId w:val="10"/>
  </w:num>
  <w:num w:numId="34">
    <w:abstractNumId w:val="21"/>
  </w:num>
  <w:num w:numId="35">
    <w:abstractNumId w:val="5"/>
  </w:num>
  <w:num w:numId="36">
    <w:abstractNumId w:val="12"/>
  </w:num>
  <w:num w:numId="37">
    <w:abstractNumId w:val="35"/>
  </w:num>
  <w:num w:numId="38">
    <w:abstractNumId w:val="3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A914DE"/>
    <w:rsid w:val="000C4E61"/>
    <w:rsid w:val="000E1AB0"/>
    <w:rsid w:val="00105EA9"/>
    <w:rsid w:val="00160915"/>
    <w:rsid w:val="001B4611"/>
    <w:rsid w:val="001F67B7"/>
    <w:rsid w:val="00227F06"/>
    <w:rsid w:val="00257CB0"/>
    <w:rsid w:val="003C3616"/>
    <w:rsid w:val="003C536D"/>
    <w:rsid w:val="004D3EED"/>
    <w:rsid w:val="004D4616"/>
    <w:rsid w:val="004F394E"/>
    <w:rsid w:val="00552EEB"/>
    <w:rsid w:val="005A58F7"/>
    <w:rsid w:val="0060676C"/>
    <w:rsid w:val="006E3478"/>
    <w:rsid w:val="00761DA6"/>
    <w:rsid w:val="00817A3C"/>
    <w:rsid w:val="009A6AF3"/>
    <w:rsid w:val="00A375AC"/>
    <w:rsid w:val="00A52546"/>
    <w:rsid w:val="00A54C48"/>
    <w:rsid w:val="00A7507E"/>
    <w:rsid w:val="00A914DE"/>
    <w:rsid w:val="00B46DDC"/>
    <w:rsid w:val="00C143CD"/>
    <w:rsid w:val="00CC7B97"/>
    <w:rsid w:val="00D84614"/>
    <w:rsid w:val="00E83339"/>
    <w:rsid w:val="00EB1E4E"/>
    <w:rsid w:val="00F45CB3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D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4DE"/>
    <w:pPr>
      <w:pBdr>
        <w:bottom w:val="single" w:sz="4" w:space="1" w:color="auto"/>
      </w:pBdr>
      <w:spacing w:after="0" w:line="240" w:lineRule="auto"/>
      <w:jc w:val="both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14DE"/>
    <w:pPr>
      <w:spacing w:after="0" w:line="360" w:lineRule="auto"/>
      <w:jc w:val="both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4DE"/>
    <w:pPr>
      <w:spacing w:after="0" w:line="360" w:lineRule="auto"/>
      <w:jc w:val="both"/>
      <w:outlineLvl w:val="2"/>
    </w:pPr>
    <w:rPr>
      <w:rFonts w:cs="Arial"/>
      <w:b/>
      <w:sz w:val="24"/>
      <w:szCs w:val="24"/>
    </w:rPr>
  </w:style>
  <w:style w:type="paragraph" w:styleId="Heading4">
    <w:name w:val="heading 4"/>
    <w:basedOn w:val="PlainText"/>
    <w:next w:val="Normal"/>
    <w:link w:val="Heading4Char"/>
    <w:uiPriority w:val="9"/>
    <w:unhideWhenUsed/>
    <w:qFormat/>
    <w:rsid w:val="00A914DE"/>
    <w:pPr>
      <w:jc w:val="both"/>
      <w:outlineLvl w:val="3"/>
    </w:pPr>
    <w:rPr>
      <w:rFonts w:ascii="Calibri" w:hAnsi="Calibri" w:cs="Arial"/>
      <w:b/>
      <w:sz w:val="24"/>
      <w:szCs w:val="24"/>
    </w:rPr>
  </w:style>
  <w:style w:type="paragraph" w:styleId="Heading5">
    <w:name w:val="heading 5"/>
    <w:basedOn w:val="PlainText"/>
    <w:next w:val="Normal"/>
    <w:link w:val="Heading5Char"/>
    <w:uiPriority w:val="9"/>
    <w:unhideWhenUsed/>
    <w:qFormat/>
    <w:rsid w:val="00A914DE"/>
    <w:pPr>
      <w:keepNext/>
      <w:keepLines/>
      <w:spacing w:before="200"/>
      <w:outlineLvl w:val="4"/>
    </w:pPr>
    <w:rPr>
      <w:rFonts w:ascii="Calibri" w:eastAsiaTheme="majorEastAsia" w:hAnsi="Calibr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DE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14DE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14DE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4DE"/>
    <w:rPr>
      <w:rFonts w:ascii="Calibri" w:hAnsi="Calibri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14DE"/>
    <w:rPr>
      <w:rFonts w:ascii="Calibri" w:eastAsiaTheme="majorEastAsia" w:hAnsi="Calibri" w:cstheme="majorBidi"/>
      <w:b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A9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DE"/>
    <w:rPr>
      <w:rFonts w:ascii="Arial" w:hAnsi="Arial"/>
    </w:rPr>
  </w:style>
  <w:style w:type="table" w:styleId="TableGrid">
    <w:name w:val="Table Grid"/>
    <w:basedOn w:val="TableNormal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4DE"/>
    <w:rPr>
      <w:color w:val="0000FF"/>
      <w:u w:val="single"/>
    </w:rPr>
  </w:style>
  <w:style w:type="character" w:customStyle="1" w:styleId="st1">
    <w:name w:val="st1"/>
    <w:basedOn w:val="DefaultParagraphFont"/>
    <w:rsid w:val="00A914DE"/>
  </w:style>
  <w:style w:type="paragraph" w:styleId="Footer">
    <w:name w:val="footer"/>
    <w:basedOn w:val="Normal"/>
    <w:link w:val="FooterChar"/>
    <w:uiPriority w:val="99"/>
    <w:unhideWhenUsed/>
    <w:rsid w:val="00A9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E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4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14D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91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DE"/>
    <w:rPr>
      <w:rFonts w:ascii="Tahoma" w:hAnsi="Tahoma" w:cs="Tahoma"/>
      <w:sz w:val="16"/>
      <w:szCs w:val="16"/>
    </w:rPr>
  </w:style>
  <w:style w:type="character" w:customStyle="1" w:styleId="referencetext1">
    <w:name w:val="referencetext1"/>
    <w:basedOn w:val="DefaultParagraphFont"/>
    <w:rsid w:val="00A914DE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914DE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14DE"/>
    <w:pPr>
      <w:tabs>
        <w:tab w:val="right" w:leader="dot" w:pos="8471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914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914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14DE"/>
    <w:pPr>
      <w:spacing w:after="100"/>
      <w:ind w:left="660"/>
    </w:pPr>
  </w:style>
  <w:style w:type="paragraph" w:styleId="TOC9">
    <w:name w:val="toc 9"/>
    <w:basedOn w:val="Normal"/>
    <w:next w:val="Normal"/>
    <w:autoRedefine/>
    <w:uiPriority w:val="39"/>
    <w:unhideWhenUsed/>
    <w:rsid w:val="00A914DE"/>
    <w:pPr>
      <w:spacing w:after="100"/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4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">
    <w:name w:val="ui-widget"/>
    <w:basedOn w:val="Normal"/>
    <w:rsid w:val="00A914DE"/>
    <w:pPr>
      <w:spacing w:before="100" w:beforeAutospacing="1" w:after="360" w:line="240" w:lineRule="auto"/>
    </w:pPr>
    <w:rPr>
      <w:rFonts w:ascii="Verdana" w:eastAsia="Times New Roman" w:hAnsi="Verdana" w:cs="Times New Roman"/>
      <w:sz w:val="26"/>
      <w:szCs w:val="26"/>
      <w:lang w:eastAsia="en-GB"/>
    </w:rPr>
  </w:style>
  <w:style w:type="paragraph" w:customStyle="1" w:styleId="Default">
    <w:name w:val="Default"/>
    <w:rsid w:val="00A914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914DE"/>
  </w:style>
  <w:style w:type="table" w:customStyle="1" w:styleId="TableGrid1">
    <w:name w:val="Table Grid1"/>
    <w:basedOn w:val="TableNormal"/>
    <w:next w:val="TableGrid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vol">
    <w:name w:val="slug-vol"/>
    <w:basedOn w:val="DefaultParagraphFont"/>
    <w:rsid w:val="00A914DE"/>
    <w:rPr>
      <w:b/>
      <w:bCs/>
    </w:rPr>
  </w:style>
  <w:style w:type="character" w:customStyle="1" w:styleId="cit-sep1">
    <w:name w:val="cit-sep1"/>
    <w:basedOn w:val="DefaultParagraphFont"/>
    <w:rsid w:val="00A914DE"/>
    <w:rPr>
      <w:b w:val="0"/>
      <w:bCs w:val="0"/>
    </w:rPr>
  </w:style>
  <w:style w:type="character" w:customStyle="1" w:styleId="slug-doi2">
    <w:name w:val="slug-doi2"/>
    <w:basedOn w:val="DefaultParagraphFont"/>
    <w:rsid w:val="00A914DE"/>
  </w:style>
  <w:style w:type="character" w:customStyle="1" w:styleId="name">
    <w:name w:val="name"/>
    <w:basedOn w:val="DefaultParagraphFont"/>
    <w:rsid w:val="00A914DE"/>
  </w:style>
  <w:style w:type="character" w:styleId="HTMLCite">
    <w:name w:val="HTML Cite"/>
    <w:basedOn w:val="DefaultParagraphFont"/>
    <w:uiPriority w:val="99"/>
    <w:semiHidden/>
    <w:unhideWhenUsed/>
    <w:rsid w:val="00A914DE"/>
    <w:rPr>
      <w:i/>
      <w:iCs/>
    </w:rPr>
  </w:style>
  <w:style w:type="character" w:customStyle="1" w:styleId="cit-vol1">
    <w:name w:val="cit-vol1"/>
    <w:basedOn w:val="DefaultParagraphFont"/>
    <w:rsid w:val="00A914DE"/>
    <w:rPr>
      <w:b/>
      <w:bCs/>
    </w:rPr>
  </w:style>
  <w:style w:type="character" w:customStyle="1" w:styleId="cit-print-date">
    <w:name w:val="cit-print-date"/>
    <w:basedOn w:val="DefaultParagraphFont"/>
    <w:rsid w:val="00A914DE"/>
  </w:style>
  <w:style w:type="character" w:customStyle="1" w:styleId="cit-issue">
    <w:name w:val="cit-issue"/>
    <w:basedOn w:val="DefaultParagraphFont"/>
    <w:rsid w:val="00A914DE"/>
  </w:style>
  <w:style w:type="character" w:customStyle="1" w:styleId="cit-first-page">
    <w:name w:val="cit-first-page"/>
    <w:basedOn w:val="DefaultParagraphFont"/>
    <w:rsid w:val="00A914DE"/>
  </w:style>
  <w:style w:type="character" w:customStyle="1" w:styleId="bibrecord-highlight-user">
    <w:name w:val="bibrecord-highlight-user"/>
    <w:basedOn w:val="DefaultParagraphFont"/>
    <w:rsid w:val="00A914DE"/>
  </w:style>
  <w:style w:type="paragraph" w:styleId="Caption">
    <w:name w:val="caption"/>
    <w:basedOn w:val="Normal"/>
    <w:next w:val="Normal"/>
    <w:uiPriority w:val="35"/>
    <w:unhideWhenUsed/>
    <w:qFormat/>
    <w:rsid w:val="00A914DE"/>
    <w:pPr>
      <w:spacing w:line="240" w:lineRule="auto"/>
      <w:jc w:val="center"/>
    </w:pPr>
    <w:rPr>
      <w:b/>
      <w:bCs/>
      <w:sz w:val="24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4D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4DE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14DE"/>
    <w:rPr>
      <w:sz w:val="16"/>
      <w:szCs w:val="16"/>
    </w:rPr>
  </w:style>
  <w:style w:type="character" w:customStyle="1" w:styleId="sublft1">
    <w:name w:val="sublft1"/>
    <w:basedOn w:val="DefaultParagraphFont"/>
    <w:rsid w:val="00A914DE"/>
    <w:rPr>
      <w:rFonts w:ascii="Arial" w:hAnsi="Arial" w:cs="Arial" w:hint="default"/>
      <w:b/>
      <w:bCs/>
      <w:color w:val="6633CC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14DE"/>
    <w:rPr>
      <w:color w:val="800080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A914DE"/>
    <w:pPr>
      <w:spacing w:after="100"/>
      <w:ind w:left="880"/>
    </w:pPr>
    <w:rPr>
      <w:rFonts w:asciiTheme="minorHAnsi" w:eastAsiaTheme="minorEastAsia" w:hAnsiTheme="minorHAns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914DE"/>
    <w:pPr>
      <w:spacing w:after="100"/>
      <w:ind w:left="1100"/>
    </w:pPr>
    <w:rPr>
      <w:rFonts w:asciiTheme="minorHAnsi" w:eastAsiaTheme="minorEastAsia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914DE"/>
    <w:pPr>
      <w:spacing w:after="100"/>
      <w:ind w:left="1320"/>
    </w:pPr>
    <w:rPr>
      <w:rFonts w:asciiTheme="minorHAnsi" w:eastAsiaTheme="minorEastAsia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914DE"/>
    <w:pPr>
      <w:spacing w:after="100"/>
      <w:ind w:left="1540"/>
    </w:pPr>
    <w:rPr>
      <w:rFonts w:asciiTheme="minorHAnsi" w:eastAsiaTheme="minorEastAsia" w:hAnsiTheme="minorHAnsi"/>
      <w:lang w:eastAsia="en-GB"/>
    </w:rPr>
  </w:style>
  <w:style w:type="character" w:customStyle="1" w:styleId="searchhistory-search-term">
    <w:name w:val="searchhistory-search-term"/>
    <w:basedOn w:val="DefaultParagraphFont"/>
    <w:rsid w:val="00A914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4D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4D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914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D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4DE"/>
    <w:pPr>
      <w:pBdr>
        <w:bottom w:val="single" w:sz="4" w:space="1" w:color="auto"/>
      </w:pBdr>
      <w:spacing w:after="0" w:line="240" w:lineRule="auto"/>
      <w:jc w:val="both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14DE"/>
    <w:pPr>
      <w:spacing w:after="0" w:line="360" w:lineRule="auto"/>
      <w:jc w:val="both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4DE"/>
    <w:pPr>
      <w:spacing w:after="0" w:line="360" w:lineRule="auto"/>
      <w:jc w:val="both"/>
      <w:outlineLvl w:val="2"/>
    </w:pPr>
    <w:rPr>
      <w:rFonts w:cs="Arial"/>
      <w:b/>
      <w:sz w:val="24"/>
      <w:szCs w:val="24"/>
    </w:rPr>
  </w:style>
  <w:style w:type="paragraph" w:styleId="Heading4">
    <w:name w:val="heading 4"/>
    <w:basedOn w:val="PlainText"/>
    <w:next w:val="Normal"/>
    <w:link w:val="Heading4Char"/>
    <w:uiPriority w:val="9"/>
    <w:unhideWhenUsed/>
    <w:qFormat/>
    <w:rsid w:val="00A914DE"/>
    <w:pPr>
      <w:jc w:val="both"/>
      <w:outlineLvl w:val="3"/>
    </w:pPr>
    <w:rPr>
      <w:rFonts w:ascii="Calibri" w:hAnsi="Calibri" w:cs="Arial"/>
      <w:b/>
      <w:sz w:val="24"/>
      <w:szCs w:val="24"/>
    </w:rPr>
  </w:style>
  <w:style w:type="paragraph" w:styleId="Heading5">
    <w:name w:val="heading 5"/>
    <w:basedOn w:val="PlainText"/>
    <w:next w:val="Normal"/>
    <w:link w:val="Heading5Char"/>
    <w:uiPriority w:val="9"/>
    <w:unhideWhenUsed/>
    <w:qFormat/>
    <w:rsid w:val="00A914DE"/>
    <w:pPr>
      <w:keepNext/>
      <w:keepLines/>
      <w:spacing w:before="200"/>
      <w:outlineLvl w:val="4"/>
    </w:pPr>
    <w:rPr>
      <w:rFonts w:ascii="Calibri" w:eastAsiaTheme="majorEastAsia" w:hAnsi="Calibr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DE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14DE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14DE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4DE"/>
    <w:rPr>
      <w:rFonts w:ascii="Calibri" w:hAnsi="Calibri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14DE"/>
    <w:rPr>
      <w:rFonts w:ascii="Calibri" w:eastAsiaTheme="majorEastAsia" w:hAnsi="Calibri" w:cstheme="majorBidi"/>
      <w:b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A9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DE"/>
    <w:rPr>
      <w:rFonts w:ascii="Arial" w:hAnsi="Arial"/>
    </w:rPr>
  </w:style>
  <w:style w:type="table" w:styleId="TableGrid">
    <w:name w:val="Table Grid"/>
    <w:basedOn w:val="TableNormal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4DE"/>
    <w:rPr>
      <w:color w:val="0000FF"/>
      <w:u w:val="single"/>
    </w:rPr>
  </w:style>
  <w:style w:type="character" w:customStyle="1" w:styleId="st1">
    <w:name w:val="st1"/>
    <w:basedOn w:val="DefaultParagraphFont"/>
    <w:rsid w:val="00A914DE"/>
  </w:style>
  <w:style w:type="paragraph" w:styleId="Footer">
    <w:name w:val="footer"/>
    <w:basedOn w:val="Normal"/>
    <w:link w:val="FooterChar"/>
    <w:uiPriority w:val="99"/>
    <w:unhideWhenUsed/>
    <w:rsid w:val="00A9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E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4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14D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91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DE"/>
    <w:rPr>
      <w:rFonts w:ascii="Tahoma" w:hAnsi="Tahoma" w:cs="Tahoma"/>
      <w:sz w:val="16"/>
      <w:szCs w:val="16"/>
    </w:rPr>
  </w:style>
  <w:style w:type="character" w:customStyle="1" w:styleId="referencetext1">
    <w:name w:val="referencetext1"/>
    <w:basedOn w:val="DefaultParagraphFont"/>
    <w:rsid w:val="00A914DE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914DE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14DE"/>
    <w:pPr>
      <w:tabs>
        <w:tab w:val="right" w:leader="dot" w:pos="8471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914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914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14DE"/>
    <w:pPr>
      <w:spacing w:after="100"/>
      <w:ind w:left="660"/>
    </w:pPr>
  </w:style>
  <w:style w:type="paragraph" w:styleId="TOC9">
    <w:name w:val="toc 9"/>
    <w:basedOn w:val="Normal"/>
    <w:next w:val="Normal"/>
    <w:autoRedefine/>
    <w:uiPriority w:val="39"/>
    <w:unhideWhenUsed/>
    <w:rsid w:val="00A914DE"/>
    <w:pPr>
      <w:spacing w:after="100"/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4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">
    <w:name w:val="ui-widget"/>
    <w:basedOn w:val="Normal"/>
    <w:rsid w:val="00A914DE"/>
    <w:pPr>
      <w:spacing w:before="100" w:beforeAutospacing="1" w:after="360" w:line="240" w:lineRule="auto"/>
    </w:pPr>
    <w:rPr>
      <w:rFonts w:ascii="Verdana" w:eastAsia="Times New Roman" w:hAnsi="Verdana" w:cs="Times New Roman"/>
      <w:sz w:val="26"/>
      <w:szCs w:val="26"/>
      <w:lang w:eastAsia="en-GB"/>
    </w:rPr>
  </w:style>
  <w:style w:type="paragraph" w:customStyle="1" w:styleId="Default">
    <w:name w:val="Default"/>
    <w:rsid w:val="00A914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914DE"/>
  </w:style>
  <w:style w:type="table" w:customStyle="1" w:styleId="TableGrid1">
    <w:name w:val="Table Grid1"/>
    <w:basedOn w:val="TableNormal"/>
    <w:next w:val="TableGrid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vol">
    <w:name w:val="slug-vol"/>
    <w:basedOn w:val="DefaultParagraphFont"/>
    <w:rsid w:val="00A914DE"/>
    <w:rPr>
      <w:b/>
      <w:bCs/>
    </w:rPr>
  </w:style>
  <w:style w:type="character" w:customStyle="1" w:styleId="cit-sep1">
    <w:name w:val="cit-sep1"/>
    <w:basedOn w:val="DefaultParagraphFont"/>
    <w:rsid w:val="00A914DE"/>
    <w:rPr>
      <w:b w:val="0"/>
      <w:bCs w:val="0"/>
    </w:rPr>
  </w:style>
  <w:style w:type="character" w:customStyle="1" w:styleId="slug-doi2">
    <w:name w:val="slug-doi2"/>
    <w:basedOn w:val="DefaultParagraphFont"/>
    <w:rsid w:val="00A914DE"/>
  </w:style>
  <w:style w:type="character" w:customStyle="1" w:styleId="name">
    <w:name w:val="name"/>
    <w:basedOn w:val="DefaultParagraphFont"/>
    <w:rsid w:val="00A914DE"/>
  </w:style>
  <w:style w:type="character" w:styleId="HTMLCite">
    <w:name w:val="HTML Cite"/>
    <w:basedOn w:val="DefaultParagraphFont"/>
    <w:uiPriority w:val="99"/>
    <w:semiHidden/>
    <w:unhideWhenUsed/>
    <w:rsid w:val="00A914DE"/>
    <w:rPr>
      <w:i/>
      <w:iCs/>
    </w:rPr>
  </w:style>
  <w:style w:type="character" w:customStyle="1" w:styleId="cit-vol1">
    <w:name w:val="cit-vol1"/>
    <w:basedOn w:val="DefaultParagraphFont"/>
    <w:rsid w:val="00A914DE"/>
    <w:rPr>
      <w:b/>
      <w:bCs/>
    </w:rPr>
  </w:style>
  <w:style w:type="character" w:customStyle="1" w:styleId="cit-print-date">
    <w:name w:val="cit-print-date"/>
    <w:basedOn w:val="DefaultParagraphFont"/>
    <w:rsid w:val="00A914DE"/>
  </w:style>
  <w:style w:type="character" w:customStyle="1" w:styleId="cit-issue">
    <w:name w:val="cit-issue"/>
    <w:basedOn w:val="DefaultParagraphFont"/>
    <w:rsid w:val="00A914DE"/>
  </w:style>
  <w:style w:type="character" w:customStyle="1" w:styleId="cit-first-page">
    <w:name w:val="cit-first-page"/>
    <w:basedOn w:val="DefaultParagraphFont"/>
    <w:rsid w:val="00A914DE"/>
  </w:style>
  <w:style w:type="character" w:customStyle="1" w:styleId="bibrecord-highlight-user">
    <w:name w:val="bibrecord-highlight-user"/>
    <w:basedOn w:val="DefaultParagraphFont"/>
    <w:rsid w:val="00A914DE"/>
  </w:style>
  <w:style w:type="paragraph" w:styleId="Caption">
    <w:name w:val="caption"/>
    <w:basedOn w:val="Normal"/>
    <w:next w:val="Normal"/>
    <w:uiPriority w:val="35"/>
    <w:unhideWhenUsed/>
    <w:qFormat/>
    <w:rsid w:val="00A914DE"/>
    <w:pPr>
      <w:spacing w:line="240" w:lineRule="auto"/>
      <w:jc w:val="center"/>
    </w:pPr>
    <w:rPr>
      <w:b/>
      <w:bCs/>
      <w:sz w:val="24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4D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4DE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14DE"/>
    <w:rPr>
      <w:sz w:val="16"/>
      <w:szCs w:val="16"/>
    </w:rPr>
  </w:style>
  <w:style w:type="character" w:customStyle="1" w:styleId="sublft1">
    <w:name w:val="sublft1"/>
    <w:basedOn w:val="DefaultParagraphFont"/>
    <w:rsid w:val="00A914DE"/>
    <w:rPr>
      <w:rFonts w:ascii="Arial" w:hAnsi="Arial" w:cs="Arial" w:hint="default"/>
      <w:b/>
      <w:bCs/>
      <w:color w:val="6633CC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14DE"/>
    <w:rPr>
      <w:color w:val="800080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A914DE"/>
    <w:pPr>
      <w:spacing w:after="100"/>
      <w:ind w:left="880"/>
    </w:pPr>
    <w:rPr>
      <w:rFonts w:asciiTheme="minorHAnsi" w:eastAsiaTheme="minorEastAsia" w:hAnsiTheme="minorHAns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914DE"/>
    <w:pPr>
      <w:spacing w:after="100"/>
      <w:ind w:left="1100"/>
    </w:pPr>
    <w:rPr>
      <w:rFonts w:asciiTheme="minorHAnsi" w:eastAsiaTheme="minorEastAsia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914DE"/>
    <w:pPr>
      <w:spacing w:after="100"/>
      <w:ind w:left="1320"/>
    </w:pPr>
    <w:rPr>
      <w:rFonts w:asciiTheme="minorHAnsi" w:eastAsiaTheme="minorEastAsia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914DE"/>
    <w:pPr>
      <w:spacing w:after="100"/>
      <w:ind w:left="1540"/>
    </w:pPr>
    <w:rPr>
      <w:rFonts w:asciiTheme="minorHAnsi" w:eastAsiaTheme="minorEastAsia" w:hAnsiTheme="minorHAnsi"/>
      <w:lang w:eastAsia="en-GB"/>
    </w:rPr>
  </w:style>
  <w:style w:type="character" w:customStyle="1" w:styleId="searchhistory-search-term">
    <w:name w:val="searchhistory-search-term"/>
    <w:basedOn w:val="DefaultParagraphFont"/>
    <w:rsid w:val="00A914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4D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4D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914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A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2014-01-26T16:05:00Z</dcterms:created>
  <dcterms:modified xsi:type="dcterms:W3CDTF">2014-01-26T16:14:00Z</dcterms:modified>
</cp:coreProperties>
</file>