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7" w:rsidRPr="00AF2D06" w:rsidRDefault="005C1536" w:rsidP="00757DD7">
      <w:pPr>
        <w:pStyle w:val="ACEHeading1"/>
        <w:spacing w:before="0" w:after="0" w:line="276" w:lineRule="auto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Table S1</w:t>
      </w:r>
    </w:p>
    <w:p w:rsidR="00B44CA7" w:rsidRPr="00AF2D06" w:rsidRDefault="005C1536" w:rsidP="00757DD7">
      <w:pPr>
        <w:pStyle w:val="ACEHeading1"/>
        <w:spacing w:before="0" w:after="0" w:line="276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Results of sensitivity analysis 1</w:t>
      </w:r>
    </w:p>
    <w:p w:rsidR="00B44CA7" w:rsidRDefault="00B44CA7" w:rsidP="00757DD7">
      <w:pPr>
        <w:spacing w:after="0"/>
        <w:rPr>
          <w:lang w:val="en-US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"/>
        <w:gridCol w:w="2558"/>
        <w:gridCol w:w="659"/>
        <w:gridCol w:w="694"/>
        <w:gridCol w:w="694"/>
        <w:gridCol w:w="659"/>
        <w:gridCol w:w="694"/>
        <w:gridCol w:w="694"/>
        <w:gridCol w:w="659"/>
        <w:gridCol w:w="694"/>
        <w:gridCol w:w="694"/>
        <w:gridCol w:w="659"/>
        <w:gridCol w:w="694"/>
        <w:gridCol w:w="694"/>
        <w:gridCol w:w="948"/>
        <w:gridCol w:w="948"/>
        <w:gridCol w:w="973"/>
      </w:tblGrid>
      <w:tr w:rsidR="00526CD6" w:rsidRPr="005C1536" w:rsidTr="00526CD6">
        <w:trPr>
          <w:trHeight w:val="315"/>
        </w:trPr>
        <w:tc>
          <w:tcPr>
            <w:tcW w:w="1390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Table </w:t>
            </w:r>
            <w:r w:rsid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S</w:t>
            </w: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1. Cost-effectiveness of alcohol interventions for the Danish population aged 16+ (population in 2009: 4.5 million), assuming the risk profile of former drinkers for all abstainers.</w:t>
            </w:r>
          </w:p>
        </w:tc>
      </w:tr>
      <w:tr w:rsidR="00526CD6" w:rsidRPr="005C1536" w:rsidTr="00526CD6">
        <w:trPr>
          <w:trHeight w:val="345"/>
        </w:trPr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C153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Intervention</w:t>
            </w:r>
          </w:p>
        </w:tc>
        <w:tc>
          <w:tcPr>
            <w:tcW w:w="20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C153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162C13">
              <w:rPr>
                <w:rFonts w:eastAsia="Times New Roman" w:cs="Times New Roman"/>
                <w:color w:val="000000"/>
                <w:sz w:val="20"/>
                <w:szCs w:val="20"/>
                <w:lang w:val="en-GB" w:eastAsia="da-DK"/>
              </w:rPr>
              <w:t>DALYs</w:t>
            </w:r>
            <w:r w:rsidRP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prevented</w:t>
            </w:r>
            <w:r w:rsidRPr="005C153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da-DK"/>
              </w:rPr>
              <w:t>a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C153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da-DK"/>
              </w:rPr>
            </w:pPr>
            <w:r w:rsidRPr="005C1536">
              <w:rPr>
                <w:rFonts w:eastAsia="Times New Roman" w:cs="Times New Roman"/>
                <w:sz w:val="20"/>
                <w:szCs w:val="20"/>
                <w:lang w:val="en-US" w:eastAsia="da-DK"/>
              </w:rPr>
              <w:t>Cost offsets (€ million)</w:t>
            </w:r>
          </w:p>
        </w:tc>
        <w:tc>
          <w:tcPr>
            <w:tcW w:w="20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C153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da-DK"/>
              </w:rPr>
            </w:pPr>
            <w:r w:rsidRPr="005C1536">
              <w:rPr>
                <w:rFonts w:eastAsia="Times New Roman" w:cs="Times New Roman"/>
                <w:sz w:val="20"/>
                <w:szCs w:val="20"/>
                <w:lang w:val="en-US" w:eastAsia="da-DK"/>
              </w:rPr>
              <w:t>Intervention cost (€ million)</w:t>
            </w:r>
          </w:p>
        </w:tc>
        <w:tc>
          <w:tcPr>
            <w:tcW w:w="20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C153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da-DK"/>
              </w:rPr>
            </w:pPr>
            <w:r w:rsidRPr="005C1536">
              <w:rPr>
                <w:rFonts w:eastAsia="Times New Roman" w:cs="Times New Roman"/>
                <w:sz w:val="20"/>
                <w:szCs w:val="20"/>
                <w:lang w:val="en-US" w:eastAsia="da-DK"/>
              </w:rPr>
              <w:t>Net cost (€ million)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C153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ICER</w:t>
            </w:r>
            <w:r w:rsidRPr="005C153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da-DK"/>
              </w:rPr>
              <w:t>b</w:t>
            </w:r>
            <w:proofErr w:type="spellEnd"/>
            <w:r w:rsidRP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 xml:space="preserve"> (€/DALY)</w:t>
            </w:r>
          </w:p>
        </w:tc>
      </w:tr>
      <w:tr w:rsidR="00526CD6" w:rsidRPr="00526CD6" w:rsidTr="00526CD6">
        <w:trPr>
          <w:trHeight w:val="345"/>
        </w:trPr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C153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C153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5C1536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Mean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low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high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Mean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low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high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Mean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low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high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Mean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low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high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Mean</w:t>
            </w:r>
            <w:r w:rsidRPr="00526CD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c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low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CI95%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high</w:t>
            </w:r>
            <w:proofErr w:type="spellEnd"/>
          </w:p>
        </w:tc>
      </w:tr>
      <w:tr w:rsidR="00526CD6" w:rsidRPr="00526CD6" w:rsidTr="00526CD6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30%</w:t>
            </w:r>
            <w:proofErr w:type="gram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taxation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1,895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1,521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2,277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-9.7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-12.8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-7.3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-9.7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-12.8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-7.3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</w:tr>
      <w:tr w:rsidR="00526CD6" w:rsidRPr="00526CD6" w:rsidTr="00526CD6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Minimum legal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drinking</w:t>
            </w:r>
            <w:proofErr w:type="spell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age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145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5,665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5,142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6,482</w:t>
            </w:r>
          </w:p>
        </w:tc>
      </w:tr>
      <w:tr w:rsidR="00526CD6" w:rsidRPr="00526CD6" w:rsidTr="00526CD6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Advertising</w:t>
            </w:r>
            <w:proofErr w:type="spell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bans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2,819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2,264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3,339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-16.9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-21.6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-12.7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0.3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0.4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-16.5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-21.2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-12.3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</w:tr>
      <w:tr w:rsidR="00526CD6" w:rsidRPr="00526CD6" w:rsidTr="00526CD6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Reduced</w:t>
            </w:r>
            <w:proofErr w:type="spell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retail</w:t>
            </w:r>
            <w:proofErr w:type="spell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opening</w:t>
            </w:r>
            <w:proofErr w:type="spellEnd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hours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2,146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1,725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2,571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-12.7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-16.2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-9.7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0.7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-12.0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-15.6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-9.0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</w:tr>
      <w:tr w:rsidR="00526CD6" w:rsidRPr="00526CD6" w:rsidTr="00526CD6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Brief intervention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544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-2.3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-3.5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-1.4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Dominant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1,776</w:t>
            </w:r>
          </w:p>
        </w:tc>
      </w:tr>
      <w:tr w:rsidR="00526CD6" w:rsidRPr="00526CD6" w:rsidTr="00526CD6">
        <w:trPr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526CD6" w:rsidRDefault="00526CD6" w:rsidP="00757D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Longer intervention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181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0.8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-1.2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-</w:t>
            </w:r>
            <w:proofErr w:type="gramStart"/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0.5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8.9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7.3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10.8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8.1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6.4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10.0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63,587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55,502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CD6" w:rsidRPr="00526CD6" w:rsidRDefault="00526CD6" w:rsidP="00757D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26CD6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83,832</w:t>
            </w:r>
          </w:p>
        </w:tc>
      </w:tr>
      <w:tr w:rsidR="00526CD6" w:rsidRPr="005C1536" w:rsidTr="009C7BEE">
        <w:trPr>
          <w:trHeight w:val="82"/>
        </w:trPr>
        <w:tc>
          <w:tcPr>
            <w:tcW w:w="13907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D6" w:rsidRPr="009C7BEE" w:rsidRDefault="00526CD6" w:rsidP="003C47E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</w:pPr>
            <w:proofErr w:type="gramStart"/>
            <w:r w:rsidRPr="009C7BE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val="en-US" w:eastAsia="da-DK"/>
              </w:rPr>
              <w:t>a</w:t>
            </w:r>
            <w:proofErr w:type="gramEnd"/>
            <w:r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t xml:space="preserve"> DALY = disability-adjusted life year. </w:t>
            </w:r>
            <w:proofErr w:type="spellStart"/>
            <w:proofErr w:type="gramStart"/>
            <w:r w:rsidRPr="009C7BE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val="en-US" w:eastAsia="da-DK"/>
              </w:rPr>
              <w:t>b</w:t>
            </w:r>
            <w:r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t>ICER</w:t>
            </w:r>
            <w:proofErr w:type="spellEnd"/>
            <w:proofErr w:type="gramEnd"/>
            <w:r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t xml:space="preserve"> = incremental cost-effectiveness ratio. </w:t>
            </w:r>
            <w:proofErr w:type="spellStart"/>
            <w:r w:rsidRPr="009C7BEE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val="en-US" w:eastAsia="da-DK"/>
              </w:rPr>
              <w:t>c</w:t>
            </w:r>
            <w:r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t>Calculated</w:t>
            </w:r>
            <w:proofErr w:type="spellEnd"/>
            <w:r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t xml:space="preserve"> as ‘ratio of means‘</w:t>
            </w:r>
            <w:r w:rsidR="000530D8"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fldChar w:fldCharType="begin"/>
            </w:r>
            <w:r w:rsidR="00162C13"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instrText xml:space="preserve"> ADDIN REFMGR.CITE &lt;Refman&gt;&lt;Cite&gt;&lt;Author&gt;Stinnett&lt;/Author&gt;&lt;Year&gt;1997&lt;/Year&gt;&lt;RecNum&gt;231&lt;/RecNum&gt;&lt;IDText&gt;Estimating CE ratios under second-order uncertainty: the mean ratio versus the ratio of means&lt;/IDText&gt;&lt;MDL Ref_Type="Journal"&gt;&lt;Ref_Type&gt;Journal&lt;/Ref_Type&gt;&lt;Ref_ID&gt;231&lt;/Ref_ID&gt;&lt;Title_Primary&gt;Estimating CE ratios under second-order uncertainty: the mean ratio versus the ratio of means&lt;/Title_Primary&gt;&lt;Authors_Primary&gt;Stinnett,A.A.&lt;/Authors_Primary&gt;&lt;Authors_Primary&gt;Paltiel,A.D.&lt;/Authors_Primary&gt;&lt;Date_Primary&gt;1997/10&lt;/Date_Primary&gt;&lt;Keywords&gt;Computer Simulation&lt;/Keywords&gt;&lt;Keywords&gt;Cost effectiveness&lt;/Keywords&gt;&lt;Keywords&gt;Cost-Benefit Analysis&lt;/Keywords&gt;&lt;Keywords&gt;cost-effectiveness&lt;/Keywords&gt;&lt;Keywords&gt;cost-effectiveness analysis&lt;/Keywords&gt;&lt;Keywords&gt;Decision Support Techniques&lt;/Keywords&gt;&lt;Keywords&gt;economics&lt;/Keywords&gt;&lt;Keywords&gt;Health Care Rationing&lt;/Keywords&gt;&lt;Keywords&gt;Humans&lt;/Keywords&gt;&lt;Keywords&gt;methods&lt;/Keywords&gt;&lt;Keywords&gt;Models,Econometric&lt;/Keywords&gt;&lt;Keywords&gt;Program Evaluation&lt;/Keywords&gt;&lt;Keywords&gt;Public Health&lt;/Keywords&gt;&lt;Keywords&gt;Quality-Adjusted Life Years&lt;/Keywords&gt;&lt;Keywords&gt;Risk&lt;/Keywords&gt;&lt;Reprint&gt;Not in File&lt;/Reprint&gt;&lt;Start_Page&gt;483&lt;/Start_Page&gt;&lt;End_Page&gt;489&lt;/End_Page&gt;&lt;Periodical&gt;Med.Decis.Making&lt;/Periodical&gt;&lt;Volume&gt;17&lt;/Volume&gt;&lt;Issue&gt;4&lt;/Issue&gt;&lt;Address&gt;Harvard Center for Risk Analysis, Harvard School of Public Health, Boston, Massachusetts, USA. astinnett@prius.jnj.com&lt;/Address&gt;&lt;Web_URL&gt;PM:9343807&lt;/Web_URL&gt;&lt;ZZ_JournalStdAbbrev&gt;&lt;f name="System"&gt;Med.Decis.Making&lt;/f&gt;&lt;/ZZ_JournalStdAbbrev&gt;&lt;ZZ_WorkformID&gt;1&lt;/ZZ_WorkformID&gt;&lt;/MDL&gt;&lt;/Cite&gt;&lt;/Refman&gt;</w:instrText>
            </w:r>
            <w:r w:rsidR="000530D8"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fldChar w:fldCharType="separate"/>
            </w:r>
            <w:r w:rsidR="003C47E0" w:rsidRPr="009C7BE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en-US" w:eastAsia="da-DK"/>
              </w:rPr>
              <w:t>[</w:t>
            </w:r>
            <w:r w:rsidR="003C47E0" w:rsidRPr="009C7BEE">
              <w:rPr>
                <w:rFonts w:eastAsia="Times New Roman" w:cs="Times New Roman"/>
                <w:noProof/>
                <w:color w:val="000000"/>
                <w:sz w:val="18"/>
                <w:szCs w:val="20"/>
                <w:lang w:val="en-US" w:eastAsia="da-DK"/>
              </w:rPr>
              <w:t>1</w:t>
            </w:r>
            <w:r w:rsidR="003C47E0" w:rsidRPr="009C7BE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val="en-US" w:eastAsia="da-DK"/>
              </w:rPr>
              <w:t>]</w:t>
            </w:r>
            <w:r w:rsidR="000530D8" w:rsidRPr="009C7BEE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fldChar w:fldCharType="end"/>
            </w:r>
          </w:p>
        </w:tc>
      </w:tr>
    </w:tbl>
    <w:p w:rsidR="00BB1F26" w:rsidRDefault="00BB1F26" w:rsidP="00757DD7">
      <w:pPr>
        <w:spacing w:after="0"/>
        <w:rPr>
          <w:lang w:val="en-US"/>
        </w:rPr>
      </w:pPr>
    </w:p>
    <w:p w:rsidR="00162C13" w:rsidRDefault="00162C13" w:rsidP="00757DD7">
      <w:pPr>
        <w:spacing w:after="0"/>
        <w:rPr>
          <w:lang w:val="en-US"/>
        </w:rPr>
      </w:pPr>
    </w:p>
    <w:p w:rsidR="00280B2E" w:rsidRDefault="00280B2E">
      <w:pPr>
        <w:rPr>
          <w:lang w:val="en-US"/>
        </w:rPr>
      </w:pPr>
    </w:p>
    <w:p w:rsidR="00162C13" w:rsidRPr="00162C13" w:rsidRDefault="000530D8" w:rsidP="00162C13">
      <w:pPr>
        <w:jc w:val="center"/>
        <w:rPr>
          <w:rFonts w:ascii="Calibri" w:hAnsi="Calibri"/>
          <w:noProof/>
          <w:lang w:val="en-US"/>
        </w:rPr>
      </w:pPr>
      <w:r>
        <w:rPr>
          <w:lang w:val="en-US"/>
        </w:rPr>
        <w:fldChar w:fldCharType="begin"/>
      </w:r>
      <w:r w:rsidR="00526CD6">
        <w:rPr>
          <w:lang w:val="en-US"/>
        </w:rPr>
        <w:instrText xml:space="preserve"> ADDIN REFMGR.REFLIST </w:instrText>
      </w:r>
      <w:r>
        <w:rPr>
          <w:lang w:val="en-US"/>
        </w:rPr>
        <w:fldChar w:fldCharType="separate"/>
      </w:r>
      <w:r w:rsidR="00162C13" w:rsidRPr="00162C13">
        <w:rPr>
          <w:rFonts w:ascii="Calibri" w:hAnsi="Calibri"/>
          <w:noProof/>
          <w:lang w:val="en-US"/>
        </w:rPr>
        <w:t>Reference List</w:t>
      </w:r>
    </w:p>
    <w:p w:rsidR="00162C13" w:rsidRPr="00162C13" w:rsidRDefault="00162C13" w:rsidP="00162C13">
      <w:pPr>
        <w:jc w:val="center"/>
        <w:rPr>
          <w:rFonts w:ascii="Calibri" w:hAnsi="Calibri"/>
          <w:noProof/>
          <w:lang w:val="en-US"/>
        </w:rPr>
      </w:pPr>
    </w:p>
    <w:p w:rsidR="00162C13" w:rsidRDefault="00162C13" w:rsidP="00162C13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ab/>
        <w:t xml:space="preserve">1. </w:t>
      </w:r>
      <w:r>
        <w:rPr>
          <w:rFonts w:ascii="Calibri" w:hAnsi="Calibri"/>
          <w:noProof/>
          <w:lang w:val="en-US"/>
        </w:rPr>
        <w:tab/>
        <w:t>Stinnett AA, Paltiel AD (1997) Estimating CE ratios under second-order uncertainty: the mean ratio versus the ratio of means. Med Decis Making 17: 483-489.</w:t>
      </w:r>
    </w:p>
    <w:p w:rsidR="00162C13" w:rsidRDefault="00162C13" w:rsidP="00162C13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rFonts w:ascii="Calibri" w:hAnsi="Calibri"/>
          <w:noProof/>
          <w:lang w:val="en-US"/>
        </w:rPr>
      </w:pPr>
    </w:p>
    <w:p w:rsidR="00BB1F26" w:rsidRDefault="000530D8" w:rsidP="00757DD7">
      <w:pPr>
        <w:spacing w:after="0"/>
        <w:rPr>
          <w:lang w:val="en-US"/>
        </w:rPr>
      </w:pPr>
      <w:r>
        <w:rPr>
          <w:lang w:val="en-US"/>
        </w:rPr>
        <w:fldChar w:fldCharType="end"/>
      </w:r>
    </w:p>
    <w:sectPr w:rsidR="00BB1F26" w:rsidSect="00BB1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EE" w:rsidRDefault="009C7BEE" w:rsidP="008C62B4">
      <w:pPr>
        <w:spacing w:after="0" w:line="240" w:lineRule="auto"/>
      </w:pPr>
      <w:r>
        <w:separator/>
      </w:r>
    </w:p>
  </w:endnote>
  <w:endnote w:type="continuationSeparator" w:id="0">
    <w:p w:rsidR="009C7BEE" w:rsidRDefault="009C7BEE" w:rsidP="008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E" w:rsidRDefault="009C7B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E" w:rsidRDefault="009C7B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E" w:rsidRDefault="009C7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EE" w:rsidRDefault="009C7BEE" w:rsidP="008C62B4">
      <w:pPr>
        <w:spacing w:after="0" w:line="240" w:lineRule="auto"/>
      </w:pPr>
      <w:r>
        <w:separator/>
      </w:r>
    </w:p>
  </w:footnote>
  <w:footnote w:type="continuationSeparator" w:id="0">
    <w:p w:rsidR="009C7BEE" w:rsidRDefault="009C7BEE" w:rsidP="008C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E" w:rsidRDefault="009C7B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E" w:rsidRDefault="009C7B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E" w:rsidRDefault="009C7B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Alcohol&lt;/item&gt;&lt;/Libraries&gt;&lt;/ENLibraries&gt;"/>
  </w:docVars>
  <w:rsids>
    <w:rsidRoot w:val="00B44CA7"/>
    <w:rsid w:val="0000628D"/>
    <w:rsid w:val="000530D8"/>
    <w:rsid w:val="00162C13"/>
    <w:rsid w:val="001D5E44"/>
    <w:rsid w:val="00280B2E"/>
    <w:rsid w:val="003C47E0"/>
    <w:rsid w:val="00526CD6"/>
    <w:rsid w:val="005C1536"/>
    <w:rsid w:val="006314A1"/>
    <w:rsid w:val="006D0439"/>
    <w:rsid w:val="007318F5"/>
    <w:rsid w:val="00757DD7"/>
    <w:rsid w:val="00870880"/>
    <w:rsid w:val="008C62B4"/>
    <w:rsid w:val="009530C4"/>
    <w:rsid w:val="009C7BEE"/>
    <w:rsid w:val="00B44CA7"/>
    <w:rsid w:val="00BB1F26"/>
    <w:rsid w:val="00BF15AE"/>
    <w:rsid w:val="00D92501"/>
    <w:rsid w:val="00E2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01"/>
  </w:style>
  <w:style w:type="paragraph" w:styleId="Heading1">
    <w:name w:val="heading 1"/>
    <w:basedOn w:val="Normal"/>
    <w:next w:val="Normal"/>
    <w:link w:val="Heading1Char"/>
    <w:uiPriority w:val="9"/>
    <w:qFormat/>
    <w:rsid w:val="00B4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_Heading 1"/>
    <w:basedOn w:val="Heading1"/>
    <w:next w:val="Normal"/>
    <w:rsid w:val="00B44CA7"/>
    <w:pPr>
      <w:keepLines w:val="0"/>
      <w:spacing w:before="360" w:after="120" w:line="360" w:lineRule="auto"/>
    </w:pPr>
    <w:rPr>
      <w:rFonts w:ascii="Arial" w:eastAsia="Times New Roman" w:hAnsi="Arial" w:cs="Times New Roman"/>
      <w:color w:val="auto"/>
      <w:kern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4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C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2B4"/>
  </w:style>
  <w:style w:type="paragraph" w:styleId="Footer">
    <w:name w:val="footer"/>
    <w:basedOn w:val="Normal"/>
    <w:link w:val="FooterChar"/>
    <w:uiPriority w:val="99"/>
    <w:semiHidden/>
    <w:unhideWhenUsed/>
    <w:rsid w:val="008C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Ledgaard Holm</dc:creator>
  <cp:keywords/>
  <dc:description/>
  <cp:lastModifiedBy>Astrid Ledgaard Holm</cp:lastModifiedBy>
  <cp:revision>2</cp:revision>
  <cp:lastPrinted>2013-10-23T11:52:00Z</cp:lastPrinted>
  <dcterms:created xsi:type="dcterms:W3CDTF">2014-01-09T10:30:00Z</dcterms:created>
  <dcterms:modified xsi:type="dcterms:W3CDTF">2014-01-09T10:30:00Z</dcterms:modified>
</cp:coreProperties>
</file>