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24" w:rsidRPr="00857054" w:rsidRDefault="00B71424" w:rsidP="00B71424">
      <w:pPr>
        <w:rPr>
          <w:rFonts w:asciiTheme="minorHAnsi" w:hAnsiTheme="minorHAnsi" w:cs="Times New Roman"/>
          <w:b/>
        </w:rPr>
      </w:pPr>
      <w:bookmarkStart w:id="0" w:name="_GoBack"/>
      <w:r w:rsidRPr="00857054">
        <w:rPr>
          <w:rFonts w:asciiTheme="minorHAnsi" w:hAnsiTheme="minorHAnsi" w:cs="Times New Roman"/>
          <w:b/>
        </w:rPr>
        <w:t xml:space="preserve">Supplemental </w:t>
      </w:r>
      <w:r w:rsidR="00926FF9" w:rsidRPr="00857054">
        <w:rPr>
          <w:rFonts w:asciiTheme="minorHAnsi" w:hAnsiTheme="minorHAnsi" w:cs="Times New Roman"/>
          <w:b/>
        </w:rPr>
        <w:t>S</w:t>
      </w:r>
      <w:r w:rsidRPr="00857054">
        <w:rPr>
          <w:rFonts w:asciiTheme="minorHAnsi" w:hAnsiTheme="minorHAnsi" w:cs="Times New Roman"/>
          <w:b/>
        </w:rPr>
        <w:t>5 – Summary of National Scale Results</w:t>
      </w:r>
    </w:p>
    <w:bookmarkEnd w:id="0"/>
    <w:p w:rsidR="00B71424" w:rsidRPr="00B61E0B" w:rsidRDefault="00B71424" w:rsidP="00B71424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 xml:space="preserve">Table </w:t>
      </w:r>
      <w:r w:rsidR="00926FF9">
        <w:rPr>
          <w:rFonts w:asciiTheme="minorHAnsi" w:hAnsiTheme="minorHAnsi" w:cs="Times New Roman"/>
          <w:b/>
        </w:rPr>
        <w:t>S</w:t>
      </w:r>
      <w:r>
        <w:rPr>
          <w:rFonts w:asciiTheme="minorHAnsi" w:hAnsiTheme="minorHAnsi" w:cs="Times New Roman"/>
          <w:b/>
        </w:rPr>
        <w:t>5</w:t>
      </w:r>
      <w:r w:rsidRPr="00B61E0B">
        <w:rPr>
          <w:rFonts w:asciiTheme="minorHAnsi" w:hAnsiTheme="minorHAnsi" w:cs="Times New Roman"/>
          <w:b/>
        </w:rPr>
        <w:t>.1</w:t>
      </w:r>
      <w:r w:rsidRPr="00B61E0B">
        <w:rPr>
          <w:rFonts w:asciiTheme="minorHAnsi" w:hAnsiTheme="minorHAnsi" w:cs="Times New Roman"/>
        </w:rPr>
        <w:t xml:space="preserve"> – National Honeybee stock and insect-pollinated crop area data for 2005 and 2010</w:t>
      </w:r>
    </w:p>
    <w:tbl>
      <w:tblPr>
        <w:tblW w:w="9372" w:type="dxa"/>
        <w:tblBorders>
          <w:top w:val="single" w:sz="4" w:space="0" w:color="auto"/>
          <w:bottom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66"/>
        <w:gridCol w:w="989"/>
        <w:gridCol w:w="1290"/>
        <w:gridCol w:w="989"/>
        <w:gridCol w:w="1025"/>
        <w:gridCol w:w="722"/>
        <w:gridCol w:w="622"/>
        <w:gridCol w:w="722"/>
        <w:gridCol w:w="847"/>
      </w:tblGrid>
      <w:tr w:rsidR="00B71424" w:rsidRPr="00B61E0B" w:rsidTr="00C85987"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Honeybee colonies (000)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Area (000 Ha)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% Oilseeds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% orchard fruit</w:t>
            </w:r>
          </w:p>
        </w:tc>
      </w:tr>
      <w:tr w:rsidR="00B71424" w:rsidRPr="00B61E0B" w:rsidTr="00C85987"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Country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2005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2010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2005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2010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2005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2010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2005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2010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Albania</w:t>
            </w:r>
          </w:p>
        </w:tc>
        <w:tc>
          <w:tcPr>
            <w:tcW w:w="989" w:type="dxa"/>
            <w:tcBorders>
              <w:top w:val="dashed" w:sz="4" w:space="0" w:color="auto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157.0</w:t>
            </w:r>
          </w:p>
        </w:tc>
        <w:tc>
          <w:tcPr>
            <w:tcW w:w="1290" w:type="dxa"/>
            <w:tcBorders>
              <w:top w:val="dashed" w:sz="4" w:space="0" w:color="auto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32%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44%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Armenia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203.6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76%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73%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Austria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291.4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367.6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161.6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6%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5%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Belarus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179.5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224.8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326.0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546.8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27%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15%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Belgium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45.4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53%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57%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Bosnia &amp; Herzegovina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259.6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366.6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59%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66%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Bulgaria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660.0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613.3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711.9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1,021.3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3%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3%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Croatia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308.0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143.8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127.1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11%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19%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Cyprus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88%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93%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Czech Republic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551.7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528.2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422.7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506.1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5%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3%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Denmark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126.8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179.6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3%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Estonia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15%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5%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Finland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186.9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1%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0%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France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1,398.4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1,074.2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2,249.9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2,559.6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6%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5%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Georgia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311.5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136.9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52.2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33%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28%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Germany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750.0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711.9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1,477.9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1,589.4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3%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3%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Greece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1,313.7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1,546.6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604.9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543.6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28%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30%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Hungary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910.9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997.0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815.4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922.7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11%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9%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Italy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1,127.8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982.7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943.0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53%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51%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Ireland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9%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5%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Latvia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13%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4%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Lithuania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180.4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306.9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61%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13%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5%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Luxembourg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30%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6%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Malta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26%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28%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Macedonia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25%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32%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Moldova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446.5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461.4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63%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22%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19%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Montenegro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62%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66%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Netherlands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67%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65%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Norway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22%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22%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Poland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949.2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1,123.4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1,047.7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1,443.4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24%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17%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Portugal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632.5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562.6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205.8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184.3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75%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73%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Romania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930.0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1,101.0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1,485.3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1,610.2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14%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9%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Serbia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270.0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320.0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563.0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575.8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28%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27%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Slovakia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276.5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235.7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221.1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275.3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3%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3%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Slovenia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164.8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158.1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33%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21%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Spain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2,238.1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2,459.4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2,056.6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2,011.5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55%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50%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Sweden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132.2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Switzerland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72%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21%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19%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Turkey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4,590.0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5,602.7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1,920.3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1,980.4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17%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United Kingdom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289.8</w:t>
            </w:r>
          </w:p>
        </w:tc>
        <w:tc>
          <w:tcPr>
            <w:tcW w:w="129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98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809.8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882.7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72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2%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Ukraine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3,369.0</w:t>
            </w:r>
          </w:p>
        </w:tc>
        <w:tc>
          <w:tcPr>
            <w:tcW w:w="129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2,921.5</w:t>
            </w:r>
          </w:p>
        </w:tc>
        <w:tc>
          <w:tcPr>
            <w:tcW w:w="98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5,305.2</w:t>
            </w: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7,255.5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62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4%</w:t>
            </w:r>
          </w:p>
        </w:tc>
        <w:tc>
          <w:tcPr>
            <w:tcW w:w="847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3%</w:t>
            </w:r>
          </w:p>
        </w:tc>
      </w:tr>
      <w:tr w:rsidR="00B71424" w:rsidRPr="00B61E0B" w:rsidTr="00C85987"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Europe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22,540.3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24,371.2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23,050.3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27,063.2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66%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13%</w:t>
            </w:r>
          </w:p>
        </w:tc>
      </w:tr>
    </w:tbl>
    <w:p w:rsidR="00B71424" w:rsidRPr="00B61E0B" w:rsidRDefault="00B71424" w:rsidP="00B71424">
      <w:pPr>
        <w:rPr>
          <w:rFonts w:asciiTheme="minorHAnsi" w:hAnsiTheme="minorHAnsi" w:cs="Times New Roman"/>
          <w:sz w:val="18"/>
        </w:rPr>
      </w:pPr>
      <w:r w:rsidRPr="00B61E0B">
        <w:rPr>
          <w:rFonts w:asciiTheme="minorHAnsi" w:hAnsiTheme="minorHAnsi" w:cs="Times New Roman"/>
          <w:sz w:val="18"/>
        </w:rPr>
        <w:t>Area = Sum area of all insect pollinated crops for which honeybees are known to be effective pollinators, % Oilseeds – the proportion of the total crop area occupied by oilseed crops, % Orchard Fruit = the proportion of crop area occupied by orchard fruits</w:t>
      </w:r>
    </w:p>
    <w:p w:rsidR="00B71424" w:rsidRPr="00B61E0B" w:rsidRDefault="00B71424" w:rsidP="00B71424">
      <w:pPr>
        <w:rPr>
          <w:rFonts w:asciiTheme="minorHAnsi" w:hAnsiTheme="minorHAnsi" w:cs="Times New Roman"/>
          <w:sz w:val="18"/>
        </w:rPr>
      </w:pPr>
      <w:r w:rsidRPr="00B61E0B">
        <w:rPr>
          <w:rFonts w:asciiTheme="minorHAnsi" w:hAnsiTheme="minorHAnsi" w:cs="Times New Roman"/>
          <w:sz w:val="18"/>
        </w:rPr>
        <w:br w:type="page"/>
      </w:r>
    </w:p>
    <w:p w:rsidR="00B71424" w:rsidRPr="00B61E0B" w:rsidRDefault="00B71424" w:rsidP="00B71424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lastRenderedPageBreak/>
        <w:t xml:space="preserve">Table </w:t>
      </w:r>
      <w:r w:rsidR="00926FF9">
        <w:rPr>
          <w:rFonts w:asciiTheme="minorHAnsi" w:hAnsiTheme="minorHAnsi" w:cs="Times New Roman"/>
          <w:b/>
        </w:rPr>
        <w:t>S</w:t>
      </w:r>
      <w:r>
        <w:rPr>
          <w:rFonts w:asciiTheme="minorHAnsi" w:hAnsiTheme="minorHAnsi" w:cs="Times New Roman"/>
          <w:b/>
        </w:rPr>
        <w:t>5</w:t>
      </w:r>
      <w:r w:rsidRPr="00B61E0B">
        <w:rPr>
          <w:rFonts w:asciiTheme="minorHAnsi" w:hAnsiTheme="minorHAnsi" w:cs="Times New Roman"/>
          <w:b/>
        </w:rPr>
        <w:t xml:space="preserve">.2 </w:t>
      </w:r>
      <w:r w:rsidRPr="00B61E0B">
        <w:rPr>
          <w:rFonts w:asciiTheme="minorHAnsi" w:hAnsiTheme="minorHAnsi" w:cs="Times New Roman"/>
        </w:rPr>
        <w:t>– National supply and demand data under lower Recommended Stocking Rate assumptions</w:t>
      </w:r>
    </w:p>
    <w:tbl>
      <w:tblPr>
        <w:tblW w:w="9430" w:type="dxa"/>
        <w:tblBorders>
          <w:top w:val="single" w:sz="4" w:space="0" w:color="auto"/>
          <w:bottom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279"/>
        <w:gridCol w:w="772"/>
        <w:gridCol w:w="851"/>
        <w:gridCol w:w="1025"/>
        <w:gridCol w:w="959"/>
        <w:gridCol w:w="993"/>
        <w:gridCol w:w="850"/>
        <w:gridCol w:w="865"/>
        <w:gridCol w:w="836"/>
      </w:tblGrid>
      <w:tr w:rsidR="00B71424" w:rsidRPr="00B61E0B" w:rsidTr="00C85987"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Supply Density (colonies/ha)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Total Demand (000 colonies)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Density of Demand (colonies/ha/2)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Pollination Service Capacity</w:t>
            </w:r>
          </w:p>
        </w:tc>
      </w:tr>
      <w:tr w:rsidR="00B71424" w:rsidRPr="00B61E0B" w:rsidTr="00C85987"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Country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2010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2005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2005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2010</w:t>
            </w:r>
          </w:p>
        </w:tc>
      </w:tr>
      <w:tr w:rsidR="00B71424" w:rsidRPr="00B61E0B" w:rsidTr="00C85987">
        <w:tc>
          <w:tcPr>
            <w:tcW w:w="2279" w:type="dxa"/>
            <w:tcBorders>
              <w:top w:val="nil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Albania</w:t>
            </w:r>
          </w:p>
        </w:tc>
        <w:tc>
          <w:tcPr>
            <w:tcW w:w="772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85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9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446%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558%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Armenia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5.27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483%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775%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Austria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125.7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164.0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464%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448%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Belarus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381.9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672.0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67%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Belgium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634%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429%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Bosnia &amp; Herzegovina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5.81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531%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730%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Bulgaria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727.1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1,013.1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182%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121%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Croatia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173.8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153.2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192%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402%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Cyprus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309%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534%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Czech Republic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494.8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574.0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223%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184%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Denmark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142.0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191.4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116%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178%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Estonia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101%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52%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Finland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157.3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257.3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36%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France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2,496.2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2,873.6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112%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75%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Georgia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5.97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152.2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196%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994%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Germany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1,536.7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1,633.6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87%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Greece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459.2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464.9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572%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665%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Hungary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847.4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961.4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215%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207%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Italy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1,368.7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1,338.6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146%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169%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Ireland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382%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282%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Latvia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123.3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117%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61%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Lithuania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240.3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351.8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58%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Luxembourg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207%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316%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Malta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130%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292%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Macedonia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282%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309%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Moldova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503.3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518.1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39%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Montenegro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5.37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851%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372%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Netherlands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503%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491%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Norway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5.60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6.39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1022%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1152%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Poland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1,220.8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1,625.0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156%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138%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Portugal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350.7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309.3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361%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364%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Romania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1,648.2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1,703.5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113%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129%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Serbia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715.3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748.2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86%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Slovakia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234.9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289.6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235%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163%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Slovenia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12.53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8.93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3167%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2332%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Spain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2,910.7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2,759.7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154%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178%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Sweden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157.1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153%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99%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Switzerland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183%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92%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Turkey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1,654.3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1,738.1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555%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645%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UK</w:t>
            </w:r>
          </w:p>
        </w:tc>
        <w:tc>
          <w:tcPr>
            <w:tcW w:w="77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1,095.8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1,144.1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836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48%</w:t>
            </w:r>
          </w:p>
        </w:tc>
      </w:tr>
      <w:tr w:rsidR="00B71424" w:rsidRPr="00B61E0B" w:rsidTr="00C85987">
        <w:tc>
          <w:tcPr>
            <w:tcW w:w="22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Ukraine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5,885.2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7,901.9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114%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74%</w:t>
            </w:r>
          </w:p>
        </w:tc>
      </w:tr>
      <w:tr w:rsidR="00B71424" w:rsidRPr="00B61E0B" w:rsidTr="00C85987"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Europe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26,228.1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30,310.7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172%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161%</w:t>
            </w:r>
          </w:p>
        </w:tc>
      </w:tr>
    </w:tbl>
    <w:p w:rsidR="00B71424" w:rsidRPr="00A951DE" w:rsidRDefault="00B71424" w:rsidP="00B71424">
      <w:pPr>
        <w:rPr>
          <w:rFonts w:asciiTheme="minorHAnsi" w:hAnsiTheme="minorHAnsi" w:cs="Times New Roman"/>
          <w:sz w:val="18"/>
        </w:rPr>
      </w:pPr>
      <w:r w:rsidRPr="00B61E0B">
        <w:rPr>
          <w:rFonts w:asciiTheme="minorHAnsi" w:hAnsiTheme="minorHAnsi" w:cs="Times New Roman"/>
          <w:sz w:val="18"/>
        </w:rPr>
        <w:t>Supply Density = available honeybee colonies per hectare of insect pollinated crop, Total Demand = total number of colonies demanded under lower RSR assumptions. Density of demand = mean number of colonies required per hectare divided by two to take into account potential colony movement within the year. Pollination service capacity = maximum capacity of honeybee stocks to supply pollination services, taken as supply density divided by density of demand under lower recommended stocking rate assumptions</w:t>
      </w:r>
      <w:r w:rsidRPr="00B61E0B">
        <w:rPr>
          <w:rFonts w:asciiTheme="minorHAnsi" w:hAnsiTheme="minorHAnsi" w:cs="Times New Roman"/>
          <w:b/>
        </w:rPr>
        <w:br w:type="page"/>
      </w:r>
    </w:p>
    <w:p w:rsidR="00B71424" w:rsidRPr="00B61E0B" w:rsidRDefault="00B71424" w:rsidP="00B71424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lastRenderedPageBreak/>
        <w:t xml:space="preserve">Table </w:t>
      </w:r>
      <w:r w:rsidR="00926FF9">
        <w:rPr>
          <w:rFonts w:asciiTheme="minorHAnsi" w:hAnsiTheme="minorHAnsi" w:cs="Times New Roman"/>
          <w:b/>
        </w:rPr>
        <w:t>S</w:t>
      </w:r>
      <w:r>
        <w:rPr>
          <w:rFonts w:asciiTheme="minorHAnsi" w:hAnsiTheme="minorHAnsi" w:cs="Times New Roman"/>
          <w:b/>
        </w:rPr>
        <w:t>5</w:t>
      </w:r>
      <w:r w:rsidRPr="00B61E0B">
        <w:rPr>
          <w:rFonts w:asciiTheme="minorHAnsi" w:hAnsiTheme="minorHAnsi" w:cs="Times New Roman"/>
          <w:b/>
        </w:rPr>
        <w:t xml:space="preserve">.3 </w:t>
      </w:r>
      <w:r w:rsidRPr="00B61E0B">
        <w:rPr>
          <w:rFonts w:asciiTheme="minorHAnsi" w:hAnsiTheme="minorHAnsi" w:cs="Times New Roman"/>
        </w:rPr>
        <w:t>– National supply and demand data under average Recommended Stocking Rate assumptions</w:t>
      </w:r>
    </w:p>
    <w:tbl>
      <w:tblPr>
        <w:tblW w:w="9875" w:type="dxa"/>
        <w:tblBorders>
          <w:top w:val="single" w:sz="4" w:space="0" w:color="auto"/>
          <w:bottom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212"/>
        <w:gridCol w:w="873"/>
        <w:gridCol w:w="851"/>
        <w:gridCol w:w="1025"/>
        <w:gridCol w:w="1087"/>
        <w:gridCol w:w="992"/>
        <w:gridCol w:w="850"/>
        <w:gridCol w:w="993"/>
        <w:gridCol w:w="992"/>
      </w:tblGrid>
      <w:tr w:rsidR="00B71424" w:rsidRPr="00B61E0B" w:rsidTr="00C85987"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Supply Density (colonies/ha)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Total Demand (000 colonies)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Density of Demand (colonies/ha)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Pollination Service Capacity</w:t>
            </w:r>
          </w:p>
        </w:tc>
      </w:tr>
      <w:tr w:rsidR="00B71424" w:rsidRPr="00B61E0B" w:rsidTr="00C85987"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Country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2010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2005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2010</w:t>
            </w:r>
          </w:p>
        </w:tc>
      </w:tr>
      <w:tr w:rsidR="00B71424" w:rsidRPr="00B61E0B" w:rsidTr="00C85987">
        <w:tc>
          <w:tcPr>
            <w:tcW w:w="22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Albania</w:t>
            </w:r>
          </w:p>
        </w:tc>
        <w:tc>
          <w:tcPr>
            <w:tcW w:w="8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195.8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221.9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160%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196%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Armenia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5.27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137.2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147.5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165%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276%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Austria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330.3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440.9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176%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167%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Belarus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999.2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1708.7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26%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Belgium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149.2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195%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134%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Bosnia &amp; Herzegovina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5.81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224.1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220.8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232%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332%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Bulgaria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1596.4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2452.0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83%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50%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Croatia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328.0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278.9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221%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Cyprus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115%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208%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Czech Republic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1199.0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1441.2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73%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Denmark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398.4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548.6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62%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Estonia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184.2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310.8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18%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Finland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370.2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633.0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15%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France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6102.7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7015.9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31%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Georgia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5.97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409.2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166.6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374%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Germany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4417.4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4744.0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30%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Greece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2540.7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2108.5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103%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147%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Hungary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1990.5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2288.3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87%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Italy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2902.6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2797.9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81%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Ireland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181%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125%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Latvia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262.8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356.2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21%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Lithuania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595.3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937.7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22%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Luxembourg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109%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Malta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48%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112%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Macedonia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165.2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167.9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2.02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91%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Moldova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1108.9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1123.4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18%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Montenegro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5.37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32.7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296%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133%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Netherlands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146%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140%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Norway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5.60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6.39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287%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331%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Poland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3731.2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4757.4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47%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Portugal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755.2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638.7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168%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176%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Romania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3571.7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4155.7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53%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Serbia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1457.8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1460.9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44%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Slovakia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560.0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719.0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66%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Slovenia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12.53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8.93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1.70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724%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525%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Spain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7753.6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7188.0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68%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Sweden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309.1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420.6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37%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Switzerland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34%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Turkey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6971.5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6843.6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1.73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132%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164%</w:t>
            </w:r>
          </w:p>
        </w:tc>
      </w:tr>
      <w:tr w:rsidR="00B71424" w:rsidRPr="00B61E0B" w:rsidTr="00C85987">
        <w:tc>
          <w:tcPr>
            <w:tcW w:w="2212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UK</w:t>
            </w:r>
          </w:p>
        </w:tc>
        <w:tc>
          <w:tcPr>
            <w:tcW w:w="87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2554.8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2754.0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1.56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20%</w:t>
            </w:r>
          </w:p>
        </w:tc>
      </w:tr>
      <w:tr w:rsidR="00B71424" w:rsidRPr="00B61E0B" w:rsidTr="00C85987">
        <w:tc>
          <w:tcPr>
            <w:tcW w:w="2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Ukraine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12475.0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16455.5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36%</w:t>
            </w:r>
          </w:p>
        </w:tc>
      </w:tr>
      <w:tr w:rsidR="00B71424" w:rsidRPr="00B61E0B" w:rsidTr="00C85987"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Europe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67,143.1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76,099.9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64%</w:t>
            </w:r>
          </w:p>
        </w:tc>
      </w:tr>
    </w:tbl>
    <w:p w:rsidR="00B71424" w:rsidRPr="00A951DE" w:rsidRDefault="00B71424" w:rsidP="00B71424">
      <w:pPr>
        <w:rPr>
          <w:rFonts w:asciiTheme="minorHAnsi" w:hAnsiTheme="minorHAnsi" w:cs="Times New Roman"/>
          <w:sz w:val="18"/>
        </w:rPr>
      </w:pPr>
      <w:r w:rsidRPr="00B61E0B">
        <w:rPr>
          <w:rFonts w:asciiTheme="minorHAnsi" w:hAnsiTheme="minorHAnsi" w:cs="Times New Roman"/>
          <w:sz w:val="18"/>
        </w:rPr>
        <w:t>Supply Density = available honeybee colonies per hectare of insect pollinated crop, Total Demand = total number of colonies demanded under average RSR assumptions. Density of demand = mean number of colonies required per hectare divided by two to represent colony movement within the year. Pollination service capacity = maximum capacity of honeybee stocks to supply pollination services, taken as supply density divided by density of demand under average recommended stocking rate assumptions</w:t>
      </w:r>
      <w:r w:rsidRPr="00B61E0B">
        <w:rPr>
          <w:rFonts w:asciiTheme="minorHAnsi" w:hAnsiTheme="minorHAnsi" w:cs="Times New Roman"/>
          <w:b/>
        </w:rPr>
        <w:br w:type="page"/>
      </w:r>
    </w:p>
    <w:p w:rsidR="00B71424" w:rsidRPr="00B61E0B" w:rsidRDefault="00B71424" w:rsidP="00B71424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lastRenderedPageBreak/>
        <w:t xml:space="preserve">Table </w:t>
      </w:r>
      <w:r w:rsidR="00926FF9">
        <w:rPr>
          <w:rFonts w:asciiTheme="minorHAnsi" w:hAnsiTheme="minorHAnsi" w:cs="Times New Roman"/>
          <w:b/>
        </w:rPr>
        <w:t>S</w:t>
      </w:r>
      <w:r>
        <w:rPr>
          <w:rFonts w:asciiTheme="minorHAnsi" w:hAnsiTheme="minorHAnsi" w:cs="Times New Roman"/>
          <w:b/>
        </w:rPr>
        <w:t>5</w:t>
      </w:r>
      <w:r w:rsidRPr="00B61E0B">
        <w:rPr>
          <w:rFonts w:asciiTheme="minorHAnsi" w:hAnsiTheme="minorHAnsi" w:cs="Times New Roman"/>
          <w:b/>
        </w:rPr>
        <w:t xml:space="preserve">.4 </w:t>
      </w:r>
      <w:r w:rsidRPr="00B61E0B">
        <w:rPr>
          <w:rFonts w:asciiTheme="minorHAnsi" w:hAnsiTheme="minorHAnsi" w:cs="Times New Roman"/>
        </w:rPr>
        <w:t>– National supply and demand data under upper Recommended Stocking Rate assumptions</w:t>
      </w:r>
    </w:p>
    <w:tbl>
      <w:tblPr>
        <w:tblW w:w="10071" w:type="dxa"/>
        <w:tblBorders>
          <w:top w:val="single" w:sz="4" w:space="0" w:color="auto"/>
          <w:bottom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79"/>
        <w:gridCol w:w="742"/>
        <w:gridCol w:w="897"/>
        <w:gridCol w:w="1217"/>
        <w:gridCol w:w="1107"/>
        <w:gridCol w:w="957"/>
        <w:gridCol w:w="975"/>
        <w:gridCol w:w="1189"/>
        <w:gridCol w:w="708"/>
      </w:tblGrid>
      <w:tr w:rsidR="00B71424" w:rsidRPr="00B61E0B" w:rsidTr="00C85987"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Supply Density (colonies/ha)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Total Demand (000 colonies)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Density of Demand (colonies/ha)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Pollination Service Capacity</w:t>
            </w:r>
          </w:p>
        </w:tc>
      </w:tr>
      <w:tr w:rsidR="00B71424" w:rsidRPr="00B61E0B" w:rsidTr="00C85987"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Country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2005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2010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2005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2010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2005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2010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2010</w:t>
            </w:r>
          </w:p>
        </w:tc>
      </w:tr>
      <w:tr w:rsidR="00B71424" w:rsidRPr="00B61E0B" w:rsidTr="00C85987">
        <w:tc>
          <w:tcPr>
            <w:tcW w:w="227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Albania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89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3.38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371.4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456.1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96%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Armenia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5.27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287.1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318.3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128%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Austria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627.8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817.8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90%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Belarus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2,147.0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3,264.7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14%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Belgium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3.29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220.6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354.5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56%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Bosnia &amp; Herzegovina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5.81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392.9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386.1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132%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190%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Bulgaria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3,036.2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4,606.3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27%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Croatia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561.8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474.4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130%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Cyprus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3.36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123%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Czech Republic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2,077.9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2,473.9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53%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43%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Denmark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732.3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987.5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34%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Estonia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362.4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558.5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18%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Finland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639.6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1,078.9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3.27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France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10,843.2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12,367.1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17%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Georgia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5.97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889.1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321.4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3.08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194%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Germany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7,936.7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8,512.9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2.69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17%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Greece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5,827.0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4,663.7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4.82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4.29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66%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Hungary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3,874.0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4,328.9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46%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Italy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4,864.8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4,644.1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49%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Ireland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104%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73%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Latvia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511.1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646.0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Lithuania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1,134.0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1,667.7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Luxembourg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60%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Malta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57%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Macedonia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342.0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353.2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4.25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39%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43%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Moldova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2,350.9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2,302.6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Montenegro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5.37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151%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66%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Netherlands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275.2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281.7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5.28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5.13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57%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Norway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5.60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6.39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4.51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4.43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124%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144%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Poland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7,998.0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9,583.1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3.82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23%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Portugal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1,237.2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1,030.5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102%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109%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Romania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6,964.4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7,844.1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28%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Serbia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2,632.4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2,622.0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24%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Slovakia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1,007.4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1,265.0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55%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37%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Slovenia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12.53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8.93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128.6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3.88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3.63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323%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246%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Spain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13,046.5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12,200.7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40%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Sweden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568.5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756.3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2.86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20%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Switzerland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184.2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197.8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2.91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17%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Turkey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15,505.2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15,238.4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74%</w:t>
            </w:r>
          </w:p>
        </w:tc>
      </w:tr>
      <w:tr w:rsidR="00B71424" w:rsidRPr="00B61E0B" w:rsidTr="00C85987">
        <w:tc>
          <w:tcPr>
            <w:tcW w:w="2279" w:type="dxa"/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UK</w:t>
            </w:r>
          </w:p>
        </w:tc>
        <w:tc>
          <w:tcPr>
            <w:tcW w:w="742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9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4,253.0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4,627.5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975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12%</w:t>
            </w:r>
          </w:p>
        </w:tc>
      </w:tr>
      <w:tr w:rsidR="00B71424" w:rsidRPr="00B61E0B" w:rsidTr="00C85987">
        <w:tc>
          <w:tcPr>
            <w:tcW w:w="22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Ukraine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23,132.0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29,823.0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20%</w:t>
            </w:r>
          </w:p>
        </w:tc>
      </w:tr>
      <w:tr w:rsidR="00B71424" w:rsidRPr="00B61E0B" w:rsidTr="00C85987"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71424" w:rsidRPr="00B61E0B" w:rsidRDefault="00B71424" w:rsidP="00C85987">
            <w:pPr>
              <w:spacing w:after="0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Europe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127,361.0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141,512.1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color w:val="000000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35%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1424" w:rsidRPr="00B61E0B" w:rsidRDefault="00B71424" w:rsidP="00C85987">
            <w:pPr>
              <w:spacing w:after="0"/>
              <w:jc w:val="right"/>
              <w:rPr>
                <w:rFonts w:asciiTheme="minorHAnsi" w:hAnsiTheme="minorHAnsi" w:cs="Times New Roman"/>
                <w:sz w:val="18"/>
                <w:szCs w:val="18"/>
              </w:rPr>
            </w:pPr>
            <w:r w:rsidRPr="00B61E0B">
              <w:rPr>
                <w:rFonts w:asciiTheme="minorHAnsi" w:hAnsiTheme="minorHAnsi" w:cs="Times New Roman"/>
                <w:sz w:val="18"/>
                <w:szCs w:val="18"/>
              </w:rPr>
              <w:t>34%</w:t>
            </w:r>
          </w:p>
        </w:tc>
      </w:tr>
    </w:tbl>
    <w:p w:rsidR="007A6800" w:rsidRPr="00B71424" w:rsidRDefault="00B71424">
      <w:pPr>
        <w:rPr>
          <w:rFonts w:asciiTheme="minorHAnsi" w:hAnsiTheme="minorHAnsi" w:cs="Times New Roman"/>
          <w:sz w:val="18"/>
        </w:rPr>
      </w:pPr>
      <w:r w:rsidRPr="00B61E0B">
        <w:rPr>
          <w:rFonts w:asciiTheme="minorHAnsi" w:hAnsiTheme="minorHAnsi" w:cs="Times New Roman"/>
          <w:sz w:val="18"/>
        </w:rPr>
        <w:t>Supply Density = available honeybee colonies per hectare of insect pollinated crop, Total Demand = total number of colonies demanded under average RSR assumptions. Density of demand = mean number of colonies required per hectare divided by two to represent colony movement within the year. Pollination service capacity = maximum capacity of honeybee stocks to supply pollination services, taken as supply density divided by density of demand under average recommended stocking rate assumptions</w:t>
      </w:r>
    </w:p>
    <w:sectPr w:rsidR="007A6800" w:rsidRPr="00B71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3E84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3A662E"/>
    <w:multiLevelType w:val="hybridMultilevel"/>
    <w:tmpl w:val="5922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71668"/>
    <w:multiLevelType w:val="hybridMultilevel"/>
    <w:tmpl w:val="4FA02946"/>
    <w:lvl w:ilvl="0" w:tplc="14149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12A71"/>
    <w:multiLevelType w:val="hybridMultilevel"/>
    <w:tmpl w:val="72408D38"/>
    <w:lvl w:ilvl="0" w:tplc="14149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361A7"/>
    <w:multiLevelType w:val="hybridMultilevel"/>
    <w:tmpl w:val="6914A938"/>
    <w:lvl w:ilvl="0" w:tplc="14149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D537D"/>
    <w:multiLevelType w:val="hybridMultilevel"/>
    <w:tmpl w:val="63AAF800"/>
    <w:lvl w:ilvl="0" w:tplc="2E0A9934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24"/>
    <w:rsid w:val="0041420B"/>
    <w:rsid w:val="00534A23"/>
    <w:rsid w:val="0083175D"/>
    <w:rsid w:val="00857054"/>
    <w:rsid w:val="00926FF9"/>
    <w:rsid w:val="00B71424"/>
    <w:rsid w:val="00D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24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42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4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424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4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2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1424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B71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424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24"/>
    <w:rPr>
      <w:rFonts w:ascii="Calibri" w:eastAsia="Times New Roman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24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24"/>
    <w:rPr>
      <w:rFonts w:ascii="Calibri" w:eastAsia="Times New Roman" w:hAnsi="Calibri" w:cs="Calibri"/>
    </w:rPr>
  </w:style>
  <w:style w:type="paragraph" w:styleId="Revision">
    <w:name w:val="Revision"/>
    <w:hidden/>
    <w:uiPriority w:val="99"/>
    <w:semiHidden/>
    <w:rsid w:val="00B71424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71424"/>
  </w:style>
  <w:style w:type="table" w:styleId="TableGrid">
    <w:name w:val="Table Grid"/>
    <w:basedOn w:val="TableNormal"/>
    <w:uiPriority w:val="59"/>
    <w:rsid w:val="00B714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B7142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1424"/>
    <w:rPr>
      <w:color w:val="800080" w:themeColor="followedHyperlink"/>
      <w:u w:val="single"/>
    </w:rPr>
  </w:style>
  <w:style w:type="character" w:customStyle="1" w:styleId="leaf">
    <w:name w:val="leaf"/>
    <w:basedOn w:val="DefaultParagraphFont"/>
    <w:rsid w:val="00B71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24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42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4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424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4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2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1424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B71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424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24"/>
    <w:rPr>
      <w:rFonts w:ascii="Calibri" w:eastAsia="Times New Roman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24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1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24"/>
    <w:rPr>
      <w:rFonts w:ascii="Calibri" w:eastAsia="Times New Roman" w:hAnsi="Calibri" w:cs="Calibri"/>
    </w:rPr>
  </w:style>
  <w:style w:type="paragraph" w:styleId="Revision">
    <w:name w:val="Revision"/>
    <w:hidden/>
    <w:uiPriority w:val="99"/>
    <w:semiHidden/>
    <w:rsid w:val="00B71424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71424"/>
  </w:style>
  <w:style w:type="table" w:styleId="TableGrid">
    <w:name w:val="Table Grid"/>
    <w:basedOn w:val="TableNormal"/>
    <w:uiPriority w:val="59"/>
    <w:rsid w:val="00B714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B7142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1424"/>
    <w:rPr>
      <w:color w:val="800080" w:themeColor="followedHyperlink"/>
      <w:u w:val="single"/>
    </w:rPr>
  </w:style>
  <w:style w:type="character" w:customStyle="1" w:styleId="leaf">
    <w:name w:val="leaf"/>
    <w:basedOn w:val="DefaultParagraphFont"/>
    <w:rsid w:val="00B7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1689</Words>
  <Characters>9633</Characters>
  <Application>Microsoft Office Word</Application>
  <DocSecurity>0</DocSecurity>
  <Lines>80</Lines>
  <Paragraphs>22</Paragraphs>
  <ScaleCrop>false</ScaleCrop>
  <Company>University of Reading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</dc:creator>
  <cp:lastModifiedBy>Tom Breeze</cp:lastModifiedBy>
  <cp:revision>3</cp:revision>
  <dcterms:created xsi:type="dcterms:W3CDTF">2013-05-07T16:37:00Z</dcterms:created>
  <dcterms:modified xsi:type="dcterms:W3CDTF">2013-11-21T14:07:00Z</dcterms:modified>
</cp:coreProperties>
</file>