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1A" w:rsidRPr="009729D3" w:rsidRDefault="00001E2D" w:rsidP="00476E1A">
      <w:pPr>
        <w:spacing w:after="0" w:line="240" w:lineRule="auto"/>
        <w:rPr>
          <w:rFonts w:ascii="Times New Roman" w:hAnsi="Times New Roman" w:cs="Mangal"/>
          <w:b/>
          <w:sz w:val="28"/>
          <w:szCs w:val="28"/>
          <w:lang w:val="es-ES_tradnl" w:bidi="hi-IN"/>
        </w:rPr>
      </w:pPr>
      <w:r w:rsidRPr="009729D3">
        <w:rPr>
          <w:rFonts w:ascii="Times New Roman" w:hAnsi="Times New Roman" w:cs="Mangal"/>
          <w:b/>
          <w:sz w:val="28"/>
          <w:szCs w:val="28"/>
          <w:lang w:val="es-ES_tradnl" w:bidi="hi-IN"/>
        </w:rPr>
        <w:t xml:space="preserve">File S2: </w:t>
      </w:r>
      <w:r w:rsidR="009C51DB" w:rsidRPr="009729D3">
        <w:rPr>
          <w:rFonts w:ascii="Times New Roman" w:hAnsi="Times New Roman" w:cs="Mangal"/>
          <w:b/>
          <w:sz w:val="28"/>
          <w:szCs w:val="28"/>
          <w:lang w:val="es-ES_tradnl" w:bidi="hi-IN"/>
        </w:rPr>
        <w:t>S</w:t>
      </w:r>
      <w:r w:rsidR="00476E1A" w:rsidRPr="009729D3">
        <w:rPr>
          <w:rFonts w:ascii="Times New Roman" w:hAnsi="Times New Roman" w:cs="Mangal"/>
          <w:b/>
          <w:sz w:val="28"/>
          <w:szCs w:val="28"/>
          <w:lang w:val="es-ES_tradnl" w:bidi="hi-IN"/>
        </w:rPr>
        <w:t xml:space="preserve">upplementary </w:t>
      </w:r>
      <w:r w:rsidR="009C51DB" w:rsidRPr="009729D3">
        <w:rPr>
          <w:rFonts w:ascii="Times New Roman" w:hAnsi="Times New Roman" w:cs="Mangal"/>
          <w:b/>
          <w:sz w:val="28"/>
          <w:szCs w:val="28"/>
          <w:lang w:val="es-ES_tradnl" w:bidi="hi-IN"/>
        </w:rPr>
        <w:t>F</w:t>
      </w:r>
      <w:r w:rsidR="00476E1A" w:rsidRPr="009729D3">
        <w:rPr>
          <w:rFonts w:ascii="Times New Roman" w:hAnsi="Times New Roman" w:cs="Mangal"/>
          <w:b/>
          <w:sz w:val="28"/>
          <w:szCs w:val="28"/>
          <w:lang w:val="es-ES_tradnl" w:bidi="hi-IN"/>
        </w:rPr>
        <w:t>igures</w:t>
      </w:r>
    </w:p>
    <w:p w:rsidR="00476E1A" w:rsidRPr="009729D3" w:rsidRDefault="00476E1A" w:rsidP="00476E1A">
      <w:pPr>
        <w:spacing w:after="0" w:line="360" w:lineRule="auto"/>
        <w:rPr>
          <w:rFonts w:ascii="Times New Roman" w:hAnsi="Times New Roman" w:cs="Mangal"/>
          <w:b/>
          <w:sz w:val="24"/>
          <w:szCs w:val="24"/>
          <w:lang w:val="es-ES_tradnl" w:bidi="hi-IN"/>
        </w:rPr>
      </w:pPr>
    </w:p>
    <w:p w:rsidR="00476E1A" w:rsidRPr="009729D3" w:rsidRDefault="00476E1A" w:rsidP="00476E1A">
      <w:pPr>
        <w:spacing w:after="0" w:line="360" w:lineRule="auto"/>
        <w:jc w:val="both"/>
        <w:rPr>
          <w:rFonts w:ascii="Times New Roman" w:hAnsi="Times New Roman" w:cs="Mangal"/>
          <w:bCs/>
          <w:sz w:val="24"/>
          <w:szCs w:val="24"/>
          <w:lang w:val="es-ES_tradnl" w:bidi="hi-IN"/>
        </w:rPr>
      </w:pPr>
      <w:r w:rsidRPr="009729D3">
        <w:rPr>
          <w:rFonts w:ascii="Times New Roman" w:hAnsi="Times New Roman" w:cs="Mangal"/>
          <w:b/>
          <w:sz w:val="24"/>
          <w:szCs w:val="24"/>
          <w:lang w:val="es-ES_tradnl" w:bidi="hi-IN"/>
        </w:rPr>
        <w:t xml:space="preserve">Figure S1. </w:t>
      </w:r>
      <w:r w:rsidRPr="009729D3">
        <w:rPr>
          <w:rFonts w:ascii="Times New Roman" w:hAnsi="Times New Roman" w:cs="Mangal"/>
          <w:b/>
          <w:bCs/>
          <w:sz w:val="24"/>
          <w:szCs w:val="24"/>
          <w:lang w:val="es-ES_tradnl" w:bidi="hi-IN"/>
        </w:rPr>
        <w:t xml:space="preserve">PCR-RFLP analysis of </w:t>
      </w:r>
      <w:r w:rsidRPr="009729D3">
        <w:rPr>
          <w:rFonts w:ascii="Times New Roman" w:hAnsi="Times New Roman" w:cs="Mangal"/>
          <w:b/>
          <w:i/>
          <w:sz w:val="24"/>
          <w:szCs w:val="24"/>
          <w:lang w:bidi="hi-IN"/>
        </w:rPr>
        <w:t>TNFB</w:t>
      </w:r>
      <w:r w:rsidRPr="009729D3">
        <w:rPr>
          <w:rFonts w:ascii="Times New Roman" w:hAnsi="Times New Roman" w:cs="Mangal"/>
          <w:b/>
          <w:bCs/>
          <w:sz w:val="24"/>
          <w:szCs w:val="24"/>
          <w:lang w:bidi="hi-IN"/>
        </w:rPr>
        <w:t xml:space="preserve"> +252A/G </w:t>
      </w:r>
      <w:r w:rsidRPr="009729D3">
        <w:rPr>
          <w:rFonts w:ascii="Times New Roman" w:hAnsi="Times New Roman" w:cs="Mangal"/>
          <w:b/>
          <w:bCs/>
          <w:sz w:val="24"/>
          <w:szCs w:val="24"/>
          <w:lang w:val="es-ES_tradnl" w:bidi="hi-IN"/>
        </w:rPr>
        <w:t xml:space="preserve">polymorphism on 2.0 % agarose gel electrophoresis: </w:t>
      </w:r>
      <w:r w:rsidRPr="009729D3">
        <w:rPr>
          <w:rFonts w:ascii="Times New Roman" w:hAnsi="Times New Roman" w:cs="Mangal"/>
          <w:bCs/>
          <w:sz w:val="24"/>
          <w:szCs w:val="24"/>
          <w:lang w:val="es-ES_tradnl" w:bidi="hi-IN"/>
        </w:rPr>
        <w:t xml:space="preserve">lanes: </w:t>
      </w:r>
      <w:r w:rsidRPr="009729D3">
        <w:rPr>
          <w:rFonts w:ascii="Times New Roman" w:hAnsi="Times New Roman" w:cs="Mangal"/>
          <w:sz w:val="24"/>
          <w:szCs w:val="24"/>
          <w:lang w:bidi="hi-IN"/>
        </w:rPr>
        <w:t>1, 3, 4, 5 &amp; 7</w:t>
      </w:r>
      <w:r w:rsidRPr="009729D3">
        <w:rPr>
          <w:rFonts w:ascii="Times New Roman" w:hAnsi="Times New Roman" w:cs="Mangal"/>
          <w:bCs/>
          <w:sz w:val="24"/>
          <w:szCs w:val="24"/>
          <w:lang w:val="es-ES_tradnl" w:bidi="hi-IN"/>
        </w:rPr>
        <w:t xml:space="preserve"> show homozygous (GG) genotypes; lane: 2 shows homozygous (AA) genotype; lane: 6 shows heterozygous (AG) genotype.</w:t>
      </w:r>
    </w:p>
    <w:p w:rsidR="00476E1A" w:rsidRPr="009729D3" w:rsidRDefault="00476E1A" w:rsidP="00476E1A">
      <w:pPr>
        <w:spacing w:after="0" w:line="360" w:lineRule="auto"/>
        <w:rPr>
          <w:rFonts w:ascii="Times New Roman" w:hAnsi="Times New Roman" w:cs="Mangal"/>
          <w:b/>
          <w:sz w:val="24"/>
          <w:szCs w:val="24"/>
          <w:lang w:val="es-ES_tradnl" w:bidi="hi-IN"/>
        </w:rPr>
      </w:pPr>
    </w:p>
    <w:p w:rsidR="00476E1A" w:rsidRPr="009729D3" w:rsidRDefault="00476E1A" w:rsidP="00476E1A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bidi="hi-IN"/>
        </w:rPr>
      </w:pPr>
      <w:r w:rsidRPr="009729D3">
        <w:rPr>
          <w:rFonts w:ascii="Times New Roman" w:eastAsia="Calibri" w:hAnsi="Times New Roman"/>
          <w:b/>
          <w:bCs/>
          <w:sz w:val="24"/>
          <w:szCs w:val="24"/>
        </w:rPr>
        <w:t>Figure S2</w:t>
      </w:r>
      <w:r w:rsidRPr="009729D3">
        <w:rPr>
          <w:rFonts w:ascii="Times New Roman" w:eastAsia="Calibri" w:hAnsi="Times New Roman"/>
          <w:b/>
          <w:bCs/>
          <w:sz w:val="24"/>
          <w:szCs w:val="24"/>
          <w:lang w:val="es-ES_tradnl" w:bidi="hi-IN"/>
        </w:rPr>
        <w:t xml:space="preserve">. </w:t>
      </w:r>
      <w:r w:rsidRPr="009729D3">
        <w:rPr>
          <w:rFonts w:ascii="Times New Roman" w:eastAsia="Calibri" w:hAnsi="Times New Roman"/>
          <w:b/>
          <w:sz w:val="24"/>
          <w:szCs w:val="24"/>
          <w:lang w:bidi="hi-IN"/>
        </w:rPr>
        <w:t xml:space="preserve">TaqMan end point fluoroscence analysis for </w:t>
      </w:r>
      <w:r w:rsidRPr="009729D3">
        <w:rPr>
          <w:rFonts w:ascii="Times New Roman" w:eastAsia="Calibri" w:hAnsi="Times New Roman"/>
          <w:b/>
          <w:i/>
          <w:sz w:val="24"/>
          <w:szCs w:val="24"/>
          <w:lang w:bidi="hi-IN"/>
        </w:rPr>
        <w:t xml:space="preserve">TNFB </w:t>
      </w:r>
      <w:r w:rsidRPr="009729D3">
        <w:rPr>
          <w:rFonts w:ascii="Times New Roman" w:eastAsia="Calibri" w:hAnsi="Times New Roman"/>
          <w:b/>
          <w:sz w:val="24"/>
          <w:szCs w:val="24"/>
          <w:lang w:bidi="hi-IN"/>
        </w:rPr>
        <w:t>C/A; (Thr26Asn)</w:t>
      </w:r>
      <w:r w:rsidRPr="009729D3">
        <w:rPr>
          <w:rFonts w:ascii="Times New Roman" w:eastAsia="Calibri" w:hAnsi="Times New Roman"/>
          <w:b/>
          <w:bCs/>
          <w:sz w:val="24"/>
          <w:szCs w:val="24"/>
        </w:rPr>
        <w:t xml:space="preserve"> polymorphism </w:t>
      </w:r>
      <w:r w:rsidRPr="009729D3">
        <w:rPr>
          <w:rFonts w:ascii="Times New Roman" w:eastAsia="Calibri" w:hAnsi="Times New Roman"/>
          <w:sz w:val="24"/>
          <w:szCs w:val="24"/>
          <w:lang w:bidi="hi-IN"/>
        </w:rPr>
        <w:t>using dual color hydrolysis probes (FAM and VIC) by LightCycler®480Real-Time PCR protocol.</w:t>
      </w:r>
      <w:r w:rsidRPr="009729D3">
        <w:rPr>
          <w:rFonts w:ascii="Times New Roman" w:eastAsia="Calibri" w:hAnsi="Times New Roman"/>
          <w:b/>
          <w:sz w:val="24"/>
          <w:szCs w:val="24"/>
          <w:lang w:bidi="hi-IN"/>
        </w:rPr>
        <w:t xml:space="preserve"> </w:t>
      </w:r>
      <w:r w:rsidRPr="009729D3">
        <w:rPr>
          <w:rFonts w:ascii="Times New Roman" w:eastAsia="Calibri" w:hAnsi="Times New Roman"/>
          <w:sz w:val="24"/>
          <w:szCs w:val="24"/>
          <w:lang w:bidi="hi-IN"/>
        </w:rPr>
        <w:t>The three genotypes identified as: AA, AC and CC, based on</w:t>
      </w:r>
      <w:r w:rsidRPr="009729D3">
        <w:rPr>
          <w:rFonts w:ascii="Times New Roman" w:eastAsia="Calibri" w:hAnsi="Times New Roman"/>
          <w:bCs/>
          <w:sz w:val="24"/>
          <w:szCs w:val="24"/>
        </w:rPr>
        <w:t xml:space="preserve"> fluorescence with Channel 465-510 (FAM for ‘</w:t>
      </w:r>
      <w:proofErr w:type="gramStart"/>
      <w:r w:rsidRPr="009729D3">
        <w:rPr>
          <w:rFonts w:ascii="Times New Roman" w:eastAsia="Calibri" w:hAnsi="Times New Roman"/>
          <w:bCs/>
          <w:sz w:val="24"/>
          <w:szCs w:val="24"/>
        </w:rPr>
        <w:t>A</w:t>
      </w:r>
      <w:proofErr w:type="gramEnd"/>
      <w:r w:rsidRPr="009729D3">
        <w:rPr>
          <w:rFonts w:ascii="Times New Roman" w:eastAsia="Calibri" w:hAnsi="Times New Roman"/>
          <w:bCs/>
          <w:sz w:val="24"/>
          <w:szCs w:val="24"/>
        </w:rPr>
        <w:t>’ allele) and Channel 536-580 (VIC for ‘C’ allele).</w:t>
      </w:r>
      <w:r w:rsidRPr="009729D3">
        <w:rPr>
          <w:rFonts w:ascii="Times New Roman" w:eastAsia="Calibri" w:hAnsi="Times New Roman"/>
          <w:sz w:val="24"/>
          <w:szCs w:val="24"/>
          <w:lang w:bidi="hi-IN"/>
        </w:rPr>
        <w:t xml:space="preserve"> A no-template control (NTC) was used with each SNP genotyping assay (shown as grey spot).</w:t>
      </w:r>
    </w:p>
    <w:p w:rsidR="00476E1A" w:rsidRPr="009729D3" w:rsidRDefault="00476E1A" w:rsidP="00476E1A">
      <w:pPr>
        <w:tabs>
          <w:tab w:val="left" w:pos="5235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476E1A" w:rsidRPr="009729D3" w:rsidRDefault="00476E1A" w:rsidP="00476E1A">
      <w:pPr>
        <w:spacing w:after="0" w:line="360" w:lineRule="auto"/>
        <w:jc w:val="both"/>
        <w:rPr>
          <w:rFonts w:ascii="Times New Roman" w:eastAsia="Calibri" w:hAnsi="Times New Roman" w:cs="Mangal"/>
          <w:b/>
          <w:bCs/>
          <w:sz w:val="24"/>
          <w:szCs w:val="24"/>
          <w:lang w:bidi="hi-IN"/>
        </w:rPr>
      </w:pPr>
      <w:r w:rsidRPr="009729D3">
        <w:rPr>
          <w:rFonts w:ascii="Times New Roman" w:eastAsia="Calibri" w:hAnsi="Times New Roman" w:cs="Mangal"/>
          <w:b/>
          <w:sz w:val="24"/>
          <w:szCs w:val="24"/>
          <w:lang w:val="es-ES_tradnl" w:bidi="hi-IN"/>
        </w:rPr>
        <w:t xml:space="preserve">Figure S3. Melt curve analysis of </w:t>
      </w:r>
      <w:r w:rsidRPr="009729D3">
        <w:rPr>
          <w:rFonts w:ascii="Times New Roman" w:eastAsia="Calibri" w:hAnsi="Times New Roman" w:cs="Mangal"/>
          <w:b/>
          <w:i/>
          <w:sz w:val="24"/>
          <w:szCs w:val="24"/>
          <w:lang w:val="es-ES_tradnl" w:bidi="hi-IN"/>
        </w:rPr>
        <w:t>TNFB</w:t>
      </w:r>
      <w:r w:rsidRPr="009729D3">
        <w:rPr>
          <w:rFonts w:ascii="Times New Roman" w:eastAsia="Calibri" w:hAnsi="Times New Roman" w:cs="Mangal"/>
          <w:b/>
          <w:sz w:val="24"/>
          <w:szCs w:val="24"/>
          <w:lang w:val="es-ES_tradnl" w:bidi="hi-IN"/>
        </w:rPr>
        <w:t xml:space="preserve">, </w:t>
      </w:r>
      <w:r w:rsidRPr="009729D3">
        <w:rPr>
          <w:rFonts w:ascii="Times New Roman" w:eastAsia="Calibri" w:hAnsi="Times New Roman" w:cs="Mangal"/>
          <w:b/>
          <w:bCs/>
          <w:i/>
          <w:sz w:val="24"/>
          <w:szCs w:val="24"/>
          <w:lang w:bidi="hi-IN"/>
        </w:rPr>
        <w:t>ICAM1</w:t>
      </w:r>
      <w:r w:rsidRPr="009729D3">
        <w:rPr>
          <w:rFonts w:ascii="Times New Roman" w:eastAsia="Calibri" w:hAnsi="Times New Roman" w:cs="Mangal"/>
          <w:b/>
          <w:bCs/>
          <w:sz w:val="24"/>
          <w:szCs w:val="24"/>
          <w:lang w:bidi="hi-IN"/>
        </w:rPr>
        <w:t xml:space="preserve"> and </w:t>
      </w:r>
      <w:r w:rsidRPr="009729D3">
        <w:rPr>
          <w:rFonts w:ascii="Times New Roman" w:eastAsia="Calibri" w:hAnsi="Times New Roman" w:cs="Mangal"/>
          <w:b/>
          <w:bCs/>
          <w:i/>
          <w:sz w:val="24"/>
          <w:szCs w:val="24"/>
          <w:lang w:bidi="hi-IN"/>
        </w:rPr>
        <w:t>GAPDH</w:t>
      </w:r>
      <w:r w:rsidRPr="009729D3">
        <w:rPr>
          <w:rFonts w:ascii="Times New Roman" w:eastAsia="Calibri" w:hAnsi="Times New Roman" w:cs="Mangal"/>
          <w:b/>
          <w:bCs/>
          <w:sz w:val="24"/>
          <w:szCs w:val="24"/>
          <w:lang w:bidi="hi-IN"/>
        </w:rPr>
        <w:t xml:space="preserve"> showing specific amplification.</w:t>
      </w:r>
    </w:p>
    <w:p w:rsidR="00476E1A" w:rsidRPr="009729D3" w:rsidRDefault="00476E1A" w:rsidP="00476E1A">
      <w:pPr>
        <w:spacing w:after="0" w:line="360" w:lineRule="auto"/>
        <w:jc w:val="both"/>
        <w:rPr>
          <w:rFonts w:ascii="Times New Roman" w:eastAsia="Calibri" w:hAnsi="Times New Roman"/>
          <w:b/>
          <w:bCs/>
          <w:sz w:val="24"/>
          <w:szCs w:val="18"/>
        </w:rPr>
      </w:pPr>
    </w:p>
    <w:p w:rsidR="00476E1A" w:rsidRPr="009729D3" w:rsidRDefault="00476E1A" w:rsidP="00476E1A">
      <w:pPr>
        <w:spacing w:after="0" w:line="360" w:lineRule="auto"/>
        <w:jc w:val="both"/>
        <w:rPr>
          <w:rFonts w:ascii="Times New Roman" w:eastAsia="Calibri" w:hAnsi="Times New Roman"/>
          <w:b/>
          <w:bCs/>
          <w:sz w:val="24"/>
          <w:szCs w:val="18"/>
        </w:rPr>
      </w:pPr>
      <w:r w:rsidRPr="009729D3">
        <w:rPr>
          <w:rFonts w:ascii="Times New Roman" w:eastAsia="Calibri" w:hAnsi="Times New Roman" w:cs="Mangal"/>
          <w:b/>
          <w:sz w:val="24"/>
          <w:szCs w:val="24"/>
          <w:lang w:val="es-ES_tradnl" w:bidi="hi-IN"/>
        </w:rPr>
        <w:t xml:space="preserve">Figure S4. </w:t>
      </w:r>
      <w:r w:rsidRPr="009729D3">
        <w:rPr>
          <w:rFonts w:ascii="Times New Roman" w:eastAsia="Calibri" w:hAnsi="Times New Roman" w:cs="Mangal"/>
          <w:b/>
          <w:bCs/>
          <w:sz w:val="24"/>
          <w:szCs w:val="24"/>
          <w:lang w:val="es-ES_tradnl" w:bidi="hi-IN"/>
        </w:rPr>
        <w:t>Relative gene expression</w:t>
      </w:r>
      <w:r w:rsidRPr="009729D3">
        <w:rPr>
          <w:rFonts w:ascii="Times New Roman" w:eastAsia="Calibri" w:hAnsi="Times New Roman" w:cs="Mangal"/>
          <w:b/>
          <w:sz w:val="24"/>
          <w:szCs w:val="24"/>
          <w:lang w:bidi="hi-IN"/>
        </w:rPr>
        <w:t xml:space="preserve"> of </w:t>
      </w:r>
      <w:r w:rsidRPr="009729D3">
        <w:rPr>
          <w:rFonts w:ascii="Times New Roman" w:eastAsia="Calibri" w:hAnsi="Times New Roman" w:cs="Mangal"/>
          <w:b/>
          <w:i/>
          <w:sz w:val="24"/>
          <w:szCs w:val="24"/>
          <w:lang w:bidi="hi-IN"/>
        </w:rPr>
        <w:t>TNFB</w:t>
      </w:r>
      <w:r w:rsidRPr="009729D3">
        <w:rPr>
          <w:rFonts w:ascii="Times New Roman" w:eastAsia="Calibri" w:hAnsi="Times New Roman" w:cs="Mangal"/>
          <w:b/>
          <w:sz w:val="24"/>
          <w:szCs w:val="24"/>
          <w:lang w:bidi="hi-IN"/>
        </w:rPr>
        <w:t xml:space="preserve"> and </w:t>
      </w:r>
      <w:r w:rsidRPr="009729D3">
        <w:rPr>
          <w:rFonts w:ascii="Times New Roman" w:eastAsia="Calibri" w:hAnsi="Times New Roman" w:cs="Mangal"/>
          <w:b/>
          <w:i/>
          <w:sz w:val="24"/>
          <w:szCs w:val="24"/>
          <w:lang w:bidi="hi-IN"/>
        </w:rPr>
        <w:t>ICAM1</w:t>
      </w:r>
      <w:r w:rsidRPr="009729D3">
        <w:rPr>
          <w:rFonts w:ascii="Times New Roman" w:eastAsia="Calibri" w:hAnsi="Times New Roman" w:cs="Mangal"/>
          <w:b/>
          <w:sz w:val="24"/>
          <w:szCs w:val="24"/>
          <w:lang w:bidi="hi-IN"/>
        </w:rPr>
        <w:t xml:space="preserve"> with respect to </w:t>
      </w:r>
      <w:r w:rsidRPr="009729D3">
        <w:rPr>
          <w:rFonts w:ascii="Times New Roman" w:eastAsia="Calibri" w:hAnsi="Times New Roman" w:cs="Mangal"/>
          <w:b/>
          <w:i/>
          <w:sz w:val="24"/>
          <w:szCs w:val="24"/>
          <w:lang w:bidi="hi-IN"/>
        </w:rPr>
        <w:t>TNFB</w:t>
      </w:r>
      <w:r w:rsidRPr="009729D3">
        <w:rPr>
          <w:rFonts w:ascii="Times New Roman" w:eastAsia="Calibri" w:hAnsi="Times New Roman" w:cs="Mangal"/>
          <w:b/>
          <w:sz w:val="24"/>
          <w:szCs w:val="24"/>
          <w:lang w:bidi="hi-IN"/>
        </w:rPr>
        <w:t xml:space="preserve"> exon 3 C/A in controls and vitiligo patients:</w:t>
      </w:r>
    </w:p>
    <w:p w:rsidR="00476E1A" w:rsidRPr="009729D3" w:rsidRDefault="00476E1A" w:rsidP="00476E1A">
      <w:pPr>
        <w:spacing w:after="0" w:line="360" w:lineRule="auto"/>
        <w:jc w:val="both"/>
        <w:rPr>
          <w:rFonts w:ascii="Times New Roman" w:eastAsia="Calibri" w:hAnsi="Times New Roman" w:cs="Mangal"/>
          <w:bCs/>
          <w:sz w:val="24"/>
          <w:szCs w:val="24"/>
          <w:lang w:bidi="hi-IN"/>
        </w:rPr>
      </w:pPr>
      <w:r w:rsidRPr="009729D3">
        <w:rPr>
          <w:rFonts w:ascii="Times New Roman" w:eastAsia="Calibri" w:hAnsi="Times New Roman" w:cs="Mangal"/>
          <w:b/>
          <w:bCs/>
          <w:sz w:val="24"/>
          <w:szCs w:val="24"/>
          <w:lang w:bidi="hi-IN"/>
        </w:rPr>
        <w:t xml:space="preserve">(A) 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Expression of </w:t>
      </w:r>
      <w:r w:rsidRPr="009729D3">
        <w:rPr>
          <w:rFonts w:ascii="Times New Roman" w:eastAsia="Calibri" w:hAnsi="Times New Roman"/>
          <w:bCs/>
          <w:i/>
          <w:sz w:val="24"/>
          <w:szCs w:val="24"/>
        </w:rPr>
        <w:t xml:space="preserve">TNFB 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mRNA </w:t>
      </w:r>
      <w:r w:rsidRPr="009729D3">
        <w:rPr>
          <w:rFonts w:ascii="Times New Roman" w:eastAsia="Calibri" w:hAnsi="Times New Roman" w:cs="Mangal"/>
          <w:sz w:val="24"/>
          <w:szCs w:val="24"/>
          <w:lang w:val="es-ES_tradnl" w:bidi="hi-IN"/>
        </w:rPr>
        <w:t xml:space="preserve">with respect to </w:t>
      </w:r>
      <w:r w:rsidRPr="009729D3">
        <w:rPr>
          <w:rFonts w:ascii="Times New Roman" w:eastAsia="Calibri" w:hAnsi="Times New Roman"/>
          <w:bCs/>
          <w:i/>
          <w:sz w:val="24"/>
          <w:szCs w:val="24"/>
        </w:rPr>
        <w:t xml:space="preserve">TNFB </w:t>
      </w:r>
      <w:r w:rsidRPr="009729D3">
        <w:rPr>
          <w:rFonts w:ascii="Times New Roman" w:eastAsia="Calibri" w:hAnsi="Times New Roman"/>
          <w:bCs/>
          <w:sz w:val="24"/>
          <w:szCs w:val="24"/>
        </w:rPr>
        <w:t>exon 3</w:t>
      </w:r>
      <w:r w:rsidRPr="009729D3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Pr="009729D3">
        <w:rPr>
          <w:rFonts w:ascii="Times New Roman" w:eastAsia="Calibri" w:hAnsi="Times New Roman" w:cs="Dutch801BT-Roman"/>
          <w:sz w:val="24"/>
          <w:szCs w:val="24"/>
          <w:lang w:bidi="hi-IN"/>
        </w:rPr>
        <w:t>C/A</w:t>
      </w:r>
      <w:r w:rsidRPr="009729D3">
        <w:rPr>
          <w:rFonts w:ascii="Times New Roman" w:eastAsia="Calibri" w:hAnsi="Times New Roman" w:cs="Mangal"/>
          <w:sz w:val="24"/>
          <w:szCs w:val="24"/>
          <w:lang w:bidi="hi-IN"/>
        </w:rPr>
        <w:t xml:space="preserve"> </w:t>
      </w:r>
      <w:r w:rsidRPr="009729D3">
        <w:rPr>
          <w:rFonts w:ascii="Times New Roman" w:eastAsia="Calibri" w:hAnsi="Times New Roman" w:cs="Mangal"/>
          <w:sz w:val="24"/>
          <w:szCs w:val="24"/>
          <w:lang w:val="es-ES_tradnl" w:bidi="hi-IN"/>
        </w:rPr>
        <w:t xml:space="preserve">in 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166 </w:t>
      </w:r>
      <w:r w:rsidRPr="009729D3">
        <w:rPr>
          <w:rFonts w:ascii="Times New Roman" w:eastAsia="Calibri" w:hAnsi="Times New Roman" w:cs="Mangal"/>
          <w:sz w:val="24"/>
          <w:szCs w:val="24"/>
          <w:lang w:val="es-ES_tradnl" w:bidi="hi-IN"/>
        </w:rPr>
        <w:t>vitiligo patients and 175 controls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 using </w:t>
      </w:r>
      <w:r w:rsidRPr="009729D3">
        <w:rPr>
          <w:rFonts w:ascii="Times New Roman" w:hAnsi="Times New Roman"/>
          <w:sz w:val="24"/>
          <w:szCs w:val="24"/>
        </w:rPr>
        <w:t>Mann-Whitney Wilcoxon test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 [Mean</w:t>
      </w:r>
      <w:r w:rsidRPr="009729D3">
        <w:rPr>
          <w:rFonts w:ascii="Times New Roman" w:eastAsia="Calibri" w:hAnsi="Times New Roman"/>
          <w:bCs/>
          <w:sz w:val="24"/>
          <w:szCs w:val="24"/>
          <w:lang w:bidi="hi-IN"/>
        </w:rPr>
        <w:t>∆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Cp </w:t>
      </w:r>
      <w:r w:rsidRPr="009729D3">
        <w:rPr>
          <w:rFonts w:ascii="Times New Roman" w:eastAsia="Calibri" w:hAnsi="Times New Roman"/>
          <w:bCs/>
          <w:sz w:val="24"/>
          <w:szCs w:val="24"/>
          <w:lang w:bidi="hi-IN"/>
        </w:rPr>
        <w:t>±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 SEM: Controls CC vs Patients CC: 8.102 ± 0.1747 vs 7.678 ± 0.2379 (</w:t>
      </w:r>
      <w:r w:rsidRPr="009729D3">
        <w:rPr>
          <w:rFonts w:ascii="Times New Roman" w:eastAsia="Calibri" w:hAnsi="Times New Roman" w:cs="Mangal"/>
          <w:bCs/>
          <w:i/>
          <w:sz w:val="24"/>
          <w:szCs w:val="24"/>
          <w:lang w:bidi="hi-IN"/>
        </w:rPr>
        <w:t>p=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>0.168); Controls CA vs Patients CA: 7.761 ± 0.0952 vs 7.028 ± 0.3376 (</w:t>
      </w:r>
      <w:r w:rsidRPr="009729D3">
        <w:rPr>
          <w:rFonts w:ascii="Times New Roman" w:eastAsia="Calibri" w:hAnsi="Times New Roman" w:cs="Mangal"/>
          <w:bCs/>
          <w:i/>
          <w:sz w:val="24"/>
          <w:szCs w:val="24"/>
          <w:lang w:bidi="hi-IN"/>
        </w:rPr>
        <w:t>p=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>0.039); Controls AA vs Patients AA: 6.918 ± 0.2808 vs 5.217 ± 0.5087 (</w:t>
      </w:r>
      <w:r w:rsidRPr="009729D3">
        <w:rPr>
          <w:rFonts w:ascii="Times New Roman" w:eastAsia="Calibri" w:hAnsi="Times New Roman" w:cs="Mangal"/>
          <w:bCs/>
          <w:i/>
          <w:sz w:val="24"/>
          <w:szCs w:val="24"/>
          <w:lang w:bidi="hi-IN"/>
        </w:rPr>
        <w:t>p=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>0.015) (</w:t>
      </w:r>
      <w:r w:rsidRPr="009729D3">
        <w:rPr>
          <w:rFonts w:ascii="Times New Roman" w:eastAsia="Calibri" w:hAnsi="Times New Roman" w:cs="Mangal"/>
          <w:bCs/>
          <w:i/>
          <w:sz w:val="24"/>
          <w:szCs w:val="24"/>
          <w:lang w:bidi="hi-IN"/>
        </w:rPr>
        <w:t>NS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 = non-significant)].</w:t>
      </w:r>
    </w:p>
    <w:p w:rsidR="00476E1A" w:rsidRPr="009729D3" w:rsidRDefault="00476E1A" w:rsidP="00476E1A">
      <w:pPr>
        <w:spacing w:after="0" w:line="360" w:lineRule="auto"/>
        <w:jc w:val="both"/>
        <w:rPr>
          <w:rFonts w:ascii="Times New Roman" w:eastAsia="Calibri" w:hAnsi="Times New Roman" w:cs="Mangal"/>
          <w:bCs/>
          <w:sz w:val="24"/>
          <w:szCs w:val="24"/>
          <w:lang w:bidi="hi-IN"/>
        </w:rPr>
      </w:pPr>
      <w:r w:rsidRPr="009729D3">
        <w:rPr>
          <w:rFonts w:ascii="Times New Roman" w:eastAsia="Calibri" w:hAnsi="Times New Roman" w:cs="Mangal"/>
          <w:b/>
          <w:bCs/>
          <w:sz w:val="24"/>
          <w:szCs w:val="24"/>
          <w:lang w:bidi="hi-IN"/>
        </w:rPr>
        <w:t xml:space="preserve"> (B) 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Expression of </w:t>
      </w:r>
      <w:r w:rsidRPr="009729D3">
        <w:rPr>
          <w:rFonts w:ascii="Times New Roman" w:eastAsia="Calibri" w:hAnsi="Times New Roman"/>
          <w:bCs/>
          <w:i/>
          <w:sz w:val="24"/>
          <w:szCs w:val="24"/>
        </w:rPr>
        <w:t xml:space="preserve">ICAM1 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mRNA </w:t>
      </w:r>
      <w:r w:rsidRPr="009729D3">
        <w:rPr>
          <w:rFonts w:ascii="Times New Roman" w:eastAsia="Calibri" w:hAnsi="Times New Roman" w:cs="Mangal"/>
          <w:sz w:val="24"/>
          <w:szCs w:val="24"/>
          <w:lang w:val="es-ES_tradnl" w:bidi="hi-IN"/>
        </w:rPr>
        <w:t xml:space="preserve">with respect to </w:t>
      </w:r>
      <w:r w:rsidRPr="009729D3">
        <w:rPr>
          <w:rFonts w:ascii="Times New Roman" w:eastAsia="Calibri" w:hAnsi="Times New Roman"/>
          <w:bCs/>
          <w:i/>
          <w:sz w:val="24"/>
          <w:szCs w:val="24"/>
        </w:rPr>
        <w:t xml:space="preserve">TNFB </w:t>
      </w:r>
      <w:r w:rsidRPr="009729D3">
        <w:rPr>
          <w:rFonts w:ascii="Times New Roman" w:eastAsia="Calibri" w:hAnsi="Times New Roman"/>
          <w:bCs/>
          <w:sz w:val="24"/>
          <w:szCs w:val="24"/>
        </w:rPr>
        <w:t>exon 3</w:t>
      </w:r>
      <w:r w:rsidRPr="009729D3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Pr="009729D3">
        <w:rPr>
          <w:rFonts w:ascii="Times New Roman" w:eastAsia="Calibri" w:hAnsi="Times New Roman" w:cs="Dutch801BT-Roman"/>
          <w:sz w:val="24"/>
          <w:szCs w:val="24"/>
          <w:lang w:bidi="hi-IN"/>
        </w:rPr>
        <w:t>C/A</w:t>
      </w:r>
      <w:r w:rsidRPr="009729D3">
        <w:rPr>
          <w:rFonts w:ascii="Times New Roman" w:eastAsia="Calibri" w:hAnsi="Times New Roman" w:cs="Mangal"/>
          <w:sz w:val="24"/>
          <w:szCs w:val="24"/>
          <w:lang w:bidi="hi-IN"/>
        </w:rPr>
        <w:t xml:space="preserve"> </w:t>
      </w:r>
      <w:r w:rsidRPr="009729D3">
        <w:rPr>
          <w:rFonts w:ascii="Times New Roman" w:eastAsia="Calibri" w:hAnsi="Times New Roman" w:cs="Mangal"/>
          <w:sz w:val="24"/>
          <w:szCs w:val="24"/>
          <w:lang w:val="es-ES_tradnl" w:bidi="hi-IN"/>
        </w:rPr>
        <w:t xml:space="preserve">in 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166 </w:t>
      </w:r>
      <w:r w:rsidRPr="009729D3">
        <w:rPr>
          <w:rFonts w:ascii="Times New Roman" w:eastAsia="Calibri" w:hAnsi="Times New Roman" w:cs="Mangal"/>
          <w:sz w:val="24"/>
          <w:szCs w:val="24"/>
          <w:lang w:val="es-ES_tradnl" w:bidi="hi-IN"/>
        </w:rPr>
        <w:t>vitiligo patients and 175 controls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 using </w:t>
      </w:r>
      <w:r w:rsidRPr="009729D3">
        <w:rPr>
          <w:rFonts w:ascii="Times New Roman" w:hAnsi="Times New Roman"/>
          <w:sz w:val="24"/>
          <w:szCs w:val="24"/>
        </w:rPr>
        <w:t>Mann-Whitney Wilcoxon test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 [Mean</w:t>
      </w:r>
      <w:r w:rsidRPr="009729D3">
        <w:rPr>
          <w:rFonts w:ascii="Times New Roman" w:eastAsia="Calibri" w:hAnsi="Times New Roman"/>
          <w:bCs/>
          <w:sz w:val="24"/>
          <w:szCs w:val="24"/>
          <w:lang w:bidi="hi-IN"/>
        </w:rPr>
        <w:t>∆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Cp </w:t>
      </w:r>
      <w:r w:rsidRPr="009729D3">
        <w:rPr>
          <w:rFonts w:ascii="Times New Roman" w:eastAsia="Calibri" w:hAnsi="Times New Roman"/>
          <w:bCs/>
          <w:sz w:val="24"/>
          <w:szCs w:val="24"/>
          <w:lang w:bidi="hi-IN"/>
        </w:rPr>
        <w:t>±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 xml:space="preserve"> SEM: Controls CC vs Patients CC: 8.767 ± 0.2267 vs 8.133 ± 0.2658 (</w:t>
      </w:r>
      <w:r w:rsidRPr="009729D3">
        <w:rPr>
          <w:rFonts w:ascii="Times New Roman" w:eastAsia="Calibri" w:hAnsi="Times New Roman" w:cs="Mangal"/>
          <w:bCs/>
          <w:i/>
          <w:sz w:val="24"/>
          <w:szCs w:val="24"/>
          <w:lang w:bidi="hi-IN"/>
        </w:rPr>
        <w:t>p=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>0.074); Controls CA vs Patients CA: 8.494 ± 0.2434 vs 7.225 ± 0.2729 (</w:t>
      </w:r>
      <w:r w:rsidRPr="009729D3">
        <w:rPr>
          <w:rFonts w:ascii="Times New Roman" w:eastAsia="Calibri" w:hAnsi="Times New Roman" w:cs="Mangal"/>
          <w:bCs/>
          <w:i/>
          <w:sz w:val="24"/>
          <w:szCs w:val="24"/>
          <w:lang w:bidi="hi-IN"/>
        </w:rPr>
        <w:t>p=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>0.001); Controls AA vs Patients AA: 8.007 ± 0.3297 vs 6.327 ± 0.4397 (</w:t>
      </w:r>
      <w:r w:rsidRPr="009729D3">
        <w:rPr>
          <w:rFonts w:ascii="Times New Roman" w:eastAsia="Calibri" w:hAnsi="Times New Roman" w:cs="Mangal"/>
          <w:bCs/>
          <w:i/>
          <w:sz w:val="24"/>
          <w:szCs w:val="24"/>
          <w:lang w:bidi="hi-IN"/>
        </w:rPr>
        <w:t>p=</w:t>
      </w:r>
      <w:r w:rsidRPr="009729D3">
        <w:rPr>
          <w:rFonts w:ascii="Times New Roman" w:eastAsia="Calibri" w:hAnsi="Times New Roman" w:cs="Mangal"/>
          <w:bCs/>
          <w:sz w:val="24"/>
          <w:szCs w:val="24"/>
          <w:lang w:bidi="hi-IN"/>
        </w:rPr>
        <w:t>0.005).</w:t>
      </w:r>
    </w:p>
    <w:p w:rsidR="00476E1A" w:rsidRPr="009729D3" w:rsidRDefault="00476E1A" w:rsidP="00476E1A">
      <w:pPr>
        <w:spacing w:after="0" w:line="360" w:lineRule="auto"/>
        <w:jc w:val="both"/>
        <w:rPr>
          <w:rFonts w:ascii="Times New Roman" w:eastAsia="Calibri" w:hAnsi="Times New Roman"/>
          <w:b/>
          <w:bCs/>
          <w:sz w:val="24"/>
          <w:szCs w:val="18"/>
        </w:rPr>
      </w:pPr>
    </w:p>
    <w:p w:rsidR="00B5274B" w:rsidRPr="009729D3" w:rsidRDefault="00B5274B"/>
    <w:p w:rsidR="00AB76FE" w:rsidRPr="009729D3" w:rsidRDefault="00AB76FE"/>
    <w:p w:rsidR="00AB76FE" w:rsidRPr="009729D3" w:rsidRDefault="00AB76FE"/>
    <w:p w:rsidR="00AB76FE" w:rsidRPr="009729D3" w:rsidRDefault="00AB76FE"/>
    <w:p w:rsidR="00D47C93" w:rsidRPr="009729D3" w:rsidRDefault="00D47C93"/>
    <w:p w:rsidR="00D47C93" w:rsidRPr="009729D3" w:rsidRDefault="00D47C93">
      <w:r w:rsidRPr="009729D3">
        <w:rPr>
          <w:noProof/>
          <w:lang w:val="en-US" w:eastAsia="en-US"/>
        </w:rPr>
        <w:drawing>
          <wp:inline distT="0" distB="0" distL="0" distR="0">
            <wp:extent cx="5731510" cy="1680109"/>
            <wp:effectExtent l="19050" t="0" r="2540" b="0"/>
            <wp:docPr id="2" name="Picture 2" descr="C:\Users\acer\Desktop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Fig. 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93" w:rsidRPr="009729D3" w:rsidRDefault="00D47C93"/>
    <w:p w:rsidR="00D47C93" w:rsidRPr="009729D3" w:rsidRDefault="00D47C93"/>
    <w:p w:rsidR="00D47C93" w:rsidRPr="009729D3" w:rsidRDefault="00D47C93"/>
    <w:p w:rsidR="00D47C93" w:rsidRPr="009729D3" w:rsidRDefault="00D47C93">
      <w:r w:rsidRPr="009729D3">
        <w:rPr>
          <w:noProof/>
          <w:lang w:val="en-US" w:eastAsia="en-US"/>
        </w:rPr>
        <w:drawing>
          <wp:inline distT="0" distB="0" distL="0" distR="0">
            <wp:extent cx="5731510" cy="5448084"/>
            <wp:effectExtent l="19050" t="0" r="2540" b="0"/>
            <wp:docPr id="3" name="Picture 3" descr="C:\Users\acer\Desktop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Fig. S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93" w:rsidRPr="009729D3" w:rsidRDefault="00D47C93">
      <w:r w:rsidRPr="009729D3">
        <w:rPr>
          <w:noProof/>
          <w:lang w:val="en-US" w:eastAsia="en-US"/>
        </w:rPr>
        <w:lastRenderedPageBreak/>
        <w:drawing>
          <wp:inline distT="0" distB="0" distL="0" distR="0">
            <wp:extent cx="5731510" cy="3379068"/>
            <wp:effectExtent l="19050" t="0" r="2540" b="0"/>
            <wp:docPr id="4" name="Picture 4" descr="C:\Users\acer\Desktop\Fig.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Fig. S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7A" w:rsidRPr="009729D3" w:rsidRDefault="00CD647A"/>
    <w:p w:rsidR="00CD647A" w:rsidRPr="009729D3" w:rsidRDefault="00CD647A"/>
    <w:p w:rsidR="00AB76FE" w:rsidRPr="009729D3" w:rsidRDefault="00AB76FE">
      <w:r w:rsidRPr="009729D3">
        <w:rPr>
          <w:noProof/>
          <w:lang w:val="en-US" w:eastAsia="en-US"/>
        </w:rPr>
        <w:drawing>
          <wp:inline distT="0" distB="0" distL="0" distR="0">
            <wp:extent cx="5731510" cy="3083202"/>
            <wp:effectExtent l="19050" t="0" r="2540" b="0"/>
            <wp:docPr id="1" name="Picture 1" descr="C:\Users\acer\Desktop\TNFB PLoS ONE Revision 1\TNFB PLoS ONE Revision 1 05 06 2013\Figures New\Fig.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TNFB PLoS ONE Revision 1\TNFB PLoS ONE Revision 1 05 06 2013\Figures New\Fig. S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FE" w:rsidRPr="009729D3" w:rsidRDefault="00AB76FE"/>
    <w:sectPr w:rsidR="00AB76FE" w:rsidRPr="009729D3" w:rsidSect="00B527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Dutch801B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76E1A"/>
    <w:rsid w:val="00001E2D"/>
    <w:rsid w:val="00212014"/>
    <w:rsid w:val="00476E1A"/>
    <w:rsid w:val="007531DC"/>
    <w:rsid w:val="007F1409"/>
    <w:rsid w:val="009729D3"/>
    <w:rsid w:val="009C51DB"/>
    <w:rsid w:val="00A0653D"/>
    <w:rsid w:val="00AB76FE"/>
    <w:rsid w:val="00B5274B"/>
    <w:rsid w:val="00CD647A"/>
    <w:rsid w:val="00D47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7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BG</cp:lastModifiedBy>
  <cp:revision>9</cp:revision>
  <dcterms:created xsi:type="dcterms:W3CDTF">2013-06-09T14:06:00Z</dcterms:created>
  <dcterms:modified xsi:type="dcterms:W3CDTF">2013-10-31T10:21:00Z</dcterms:modified>
</cp:coreProperties>
</file>