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3E" w:rsidRDefault="00034C3E" w:rsidP="00034C3E">
      <w:pPr>
        <w:pStyle w:val="Heading1"/>
      </w:pPr>
      <w:r>
        <w:t>Appendix S1</w:t>
      </w:r>
    </w:p>
    <w:p w:rsidR="00034C3E" w:rsidRDefault="00034C3E" w:rsidP="00034C3E">
      <w:pPr>
        <w:spacing w:line="480" w:lineRule="auto"/>
      </w:pPr>
      <w:r>
        <w:br/>
      </w:r>
      <w:r w:rsidRPr="00493CB7">
        <w:t xml:space="preserve">Voucher data and </w:t>
      </w:r>
      <w:proofErr w:type="spellStart"/>
      <w:r w:rsidRPr="00493CB7">
        <w:t>GenBank</w:t>
      </w:r>
      <w:proofErr w:type="spellEnd"/>
      <w:r w:rsidRPr="00493CB7">
        <w:t xml:space="preserve"> accession number</w:t>
      </w:r>
      <w:r>
        <w:t>s</w:t>
      </w:r>
      <w:r w:rsidRPr="00493CB7">
        <w:t xml:space="preserve"> for our Polypodiales genomic DNA test set. </w:t>
      </w:r>
      <w:proofErr w:type="spellStart"/>
      <w:r w:rsidRPr="00493CB7">
        <w:t>GenBank</w:t>
      </w:r>
      <w:proofErr w:type="spellEnd"/>
      <w:r w:rsidRPr="00493CB7">
        <w:t xml:space="preserve"> numbers are presented in the following order: </w:t>
      </w:r>
      <w:proofErr w:type="spellStart"/>
      <w:r w:rsidRPr="00493CB7">
        <w:rPr>
          <w:i/>
        </w:rPr>
        <w:t>ApPEFP_C</w:t>
      </w:r>
      <w:proofErr w:type="spellEnd"/>
      <w:r w:rsidRPr="00493CB7">
        <w:t xml:space="preserve"> Region1, </w:t>
      </w:r>
      <w:proofErr w:type="spellStart"/>
      <w:r w:rsidRPr="00493CB7">
        <w:rPr>
          <w:i/>
        </w:rPr>
        <w:t>ApPEFP_C</w:t>
      </w:r>
      <w:proofErr w:type="spellEnd"/>
      <w:r w:rsidRPr="00493CB7">
        <w:t xml:space="preserve"> Region1a, </w:t>
      </w:r>
      <w:proofErr w:type="spellStart"/>
      <w:r w:rsidRPr="00493CB7">
        <w:rPr>
          <w:i/>
        </w:rPr>
        <w:t>ApPEFP_C</w:t>
      </w:r>
      <w:proofErr w:type="spellEnd"/>
      <w:r w:rsidRPr="00493CB7">
        <w:t xml:space="preserve"> Region1b, </w:t>
      </w:r>
      <w:proofErr w:type="spellStart"/>
      <w:r w:rsidRPr="00493CB7">
        <w:rPr>
          <w:i/>
        </w:rPr>
        <w:t>ApPEFP_C</w:t>
      </w:r>
      <w:proofErr w:type="spellEnd"/>
      <w:r w:rsidRPr="00493CB7">
        <w:t xml:space="preserve"> Region2, </w:t>
      </w:r>
      <w:proofErr w:type="spellStart"/>
      <w:r w:rsidRPr="00493CB7">
        <w:rPr>
          <w:i/>
        </w:rPr>
        <w:t>ApPEFP_C</w:t>
      </w:r>
      <w:proofErr w:type="spellEnd"/>
      <w:r w:rsidRPr="00493CB7">
        <w:t xml:space="preserve"> Region3, </w:t>
      </w:r>
      <w:r w:rsidRPr="00493CB7">
        <w:rPr>
          <w:i/>
        </w:rPr>
        <w:t>CRY2</w:t>
      </w:r>
      <w:r w:rsidRPr="00493CB7">
        <w:t xml:space="preserve"> Region1, </w:t>
      </w:r>
      <w:r w:rsidRPr="00493CB7">
        <w:rPr>
          <w:i/>
        </w:rPr>
        <w:t>CRY4</w:t>
      </w:r>
      <w:r w:rsidRPr="00493CB7">
        <w:t xml:space="preserve"> Region1, </w:t>
      </w:r>
      <w:r>
        <w:rPr>
          <w:i/>
        </w:rPr>
        <w:t>DET1</w:t>
      </w:r>
      <w:r w:rsidRPr="00493CB7">
        <w:t xml:space="preserve"> Region1, </w:t>
      </w:r>
      <w:proofErr w:type="spellStart"/>
      <w:r w:rsidRPr="00493CB7">
        <w:rPr>
          <w:i/>
        </w:rPr>
        <w:t>gapCpSh</w:t>
      </w:r>
      <w:proofErr w:type="spellEnd"/>
      <w:r w:rsidRPr="00493CB7">
        <w:t xml:space="preserve"> Region1, </w:t>
      </w:r>
      <w:r w:rsidRPr="00493CB7">
        <w:rPr>
          <w:i/>
        </w:rPr>
        <w:t>IBR3</w:t>
      </w:r>
      <w:r w:rsidRPr="00493CB7">
        <w:t xml:space="preserve"> Region1, </w:t>
      </w:r>
      <w:r w:rsidRPr="00493CB7">
        <w:rPr>
          <w:i/>
        </w:rPr>
        <w:t>IBR3</w:t>
      </w:r>
      <w:r w:rsidRPr="00493CB7">
        <w:t xml:space="preserve"> Region2, </w:t>
      </w:r>
      <w:r w:rsidRPr="00493CB7">
        <w:rPr>
          <w:i/>
        </w:rPr>
        <w:t>pgiC</w:t>
      </w:r>
      <w:r w:rsidRPr="00493CB7">
        <w:t xml:space="preserve"> Region1, </w:t>
      </w:r>
      <w:r w:rsidRPr="00493CB7">
        <w:rPr>
          <w:i/>
        </w:rPr>
        <w:t>SQD1</w:t>
      </w:r>
      <w:r w:rsidRPr="00493CB7">
        <w:t xml:space="preserve"> Region1, </w:t>
      </w:r>
      <w:r w:rsidRPr="00493CB7">
        <w:rPr>
          <w:i/>
        </w:rPr>
        <w:t>SQD1</w:t>
      </w:r>
      <w:r w:rsidRPr="00493CB7">
        <w:t xml:space="preserve"> Region1a, </w:t>
      </w:r>
      <w:r w:rsidRPr="00493CB7">
        <w:rPr>
          <w:i/>
        </w:rPr>
        <w:t>SQD1</w:t>
      </w:r>
      <w:r w:rsidRPr="00493CB7">
        <w:t xml:space="preserve"> Region2, </w:t>
      </w:r>
      <w:r w:rsidRPr="00493CB7">
        <w:rPr>
          <w:i/>
        </w:rPr>
        <w:t>TPLATE</w:t>
      </w:r>
      <w:r w:rsidRPr="00493CB7">
        <w:t xml:space="preserve"> Region1, TPLATE Region2, </w:t>
      </w:r>
      <w:proofErr w:type="spellStart"/>
      <w:r w:rsidRPr="00493CB7">
        <w:rPr>
          <w:i/>
        </w:rPr>
        <w:t>transducin</w:t>
      </w:r>
      <w:proofErr w:type="spellEnd"/>
      <w:r w:rsidRPr="00493CB7">
        <w:t xml:space="preserve"> Region1, </w:t>
      </w:r>
      <w:proofErr w:type="spellStart"/>
      <w:r w:rsidRPr="00493CB7">
        <w:rPr>
          <w:i/>
        </w:rPr>
        <w:t>transducin</w:t>
      </w:r>
      <w:proofErr w:type="spellEnd"/>
      <w:r w:rsidRPr="00493CB7">
        <w:t xml:space="preserve"> Region2, </w:t>
      </w:r>
      <w:proofErr w:type="spellStart"/>
      <w:r w:rsidRPr="00493CB7">
        <w:rPr>
          <w:i/>
        </w:rPr>
        <w:t>transducin</w:t>
      </w:r>
      <w:proofErr w:type="spellEnd"/>
      <w:r w:rsidRPr="00493CB7">
        <w:t xml:space="preserve"> Region3. Numbers in parenthesis following the species names are Fern Lab Database accession numbers (fernlab.biology.</w:t>
      </w:r>
      <w:r>
        <w:t>duke.edu); letters in parenthese</w:t>
      </w:r>
      <w:r w:rsidRPr="00493CB7">
        <w:t xml:space="preserve">s are </w:t>
      </w:r>
      <w:r>
        <w:t>acronyms for the herbaria where the vouchers are deposited</w:t>
      </w:r>
      <w:r w:rsidRPr="00493CB7">
        <w:t xml:space="preserve">, from Index </w:t>
      </w:r>
      <w:proofErr w:type="spellStart"/>
      <w:r w:rsidRPr="00493CB7">
        <w:t>Herbariorum</w:t>
      </w:r>
      <w:proofErr w:type="spellEnd"/>
      <w:r>
        <w:t xml:space="preserve"> </w:t>
      </w:r>
      <w:r>
        <w:fldChar w:fldCharType="begin"/>
      </w:r>
      <w:r>
        <w:instrText xml:space="preserve"> ADDIN EN.CITE &lt;EndNote&gt;&lt;Cite&gt;&lt;Author&gt;Thiers&lt;/Author&gt;&lt;Year&gt;[continuously updated]&lt;/Year&gt;&lt;RecNum&gt;2836&lt;/RecNum&gt;&lt;DisplayText&gt;[145]&lt;/DisplayText&gt;&lt;record&gt;&lt;rec-number&gt;2836&lt;/rec-number&gt;&lt;foreign-keys&gt;&lt;key app="EN" db-id="00vw9xd23059zbe29srpp0pl20t2datwapar"&gt;2836&lt;/key&gt;&lt;/foreign-keys&gt;&lt;ref-type name="Web Page"&gt;12&lt;/ref-type&gt;&lt;contributors&gt;&lt;authors&gt;&lt;author&gt;Thiers, B. &lt;/author&gt;&lt;/authors&gt;&lt;/contributors&gt;&lt;titles&gt;&lt;title&gt;Index Herbariorum: A global directory of public herbaria and associated staff. New York Botanical Garden&amp;apos;s Virtual Herbarium&lt;/title&gt;&lt;/titles&gt;&lt;volume&gt;2012&lt;/volume&gt;&lt;dates&gt;&lt;year&gt;[continuously updated]&lt;/year&gt;&lt;/dates&gt;&lt;urls&gt;&lt;related-urls&gt;&lt;url&gt;http://sciweb.nybg.org/science2/IndexHerbariorum.asp&lt;/url&gt;&lt;/related-urls&gt;&lt;/urls&gt;&lt;/record&gt;&lt;/Cite&gt;&lt;/EndNote&gt;</w:instrText>
      </w:r>
      <w:r>
        <w:fldChar w:fldCharType="separate"/>
      </w:r>
      <w:r>
        <w:rPr>
          <w:noProof/>
        </w:rPr>
        <w:t>[145]</w:t>
      </w:r>
      <w:r>
        <w:fldChar w:fldCharType="end"/>
      </w:r>
      <w:r>
        <w:rPr>
          <w:bCs/>
        </w:rPr>
        <w:t>.</w:t>
      </w:r>
      <w:r w:rsidRPr="00493CB7">
        <w:t xml:space="preserve"> Missing data are indicated by an n-dash (“–”).</w:t>
      </w:r>
      <w:r w:rsidRPr="00493CB7">
        <w:br/>
      </w:r>
      <w:r w:rsidRPr="00493CB7">
        <w:br/>
      </w:r>
      <w:r w:rsidRPr="000B7791">
        <w:rPr>
          <w:b/>
        </w:rPr>
        <w:t>CYATHEALES</w:t>
      </w:r>
      <w:r>
        <w:t xml:space="preserve">: </w:t>
      </w:r>
      <w:proofErr w:type="spellStart"/>
      <w:r w:rsidRPr="000B7791">
        <w:rPr>
          <w:i/>
        </w:rPr>
        <w:t>Alsophila</w:t>
      </w:r>
      <w:proofErr w:type="spellEnd"/>
      <w:r w:rsidRPr="000B7791">
        <w:rPr>
          <w:i/>
        </w:rPr>
        <w:t xml:space="preserve"> </w:t>
      </w:r>
      <w:proofErr w:type="spellStart"/>
      <w:r w:rsidRPr="000B7791">
        <w:rPr>
          <w:i/>
        </w:rPr>
        <w:t>podophylla</w:t>
      </w:r>
      <w:proofErr w:type="spellEnd"/>
      <w:r>
        <w:t xml:space="preserve"> Hook. (4948)</w:t>
      </w:r>
      <w:proofErr w:type="gramStart"/>
      <w:r>
        <w:t>. Schuettpelz et al. 1201A (DUKE).</w:t>
      </w:r>
      <w:proofErr w:type="gramEnd"/>
      <w:r>
        <w:t xml:space="preserve"> Taiwan: </w:t>
      </w:r>
      <w:proofErr w:type="spellStart"/>
      <w:r>
        <w:t>Ilan</w:t>
      </w:r>
      <w:proofErr w:type="spellEnd"/>
      <w:r>
        <w:t xml:space="preserve"> Co. –; ‡; –; KF553697; –; KF553754 and KF553755; –; –; KF553792; –; KF553739; –; –; KF553813; KF553828; –; –; –; –; –. </w:t>
      </w:r>
      <w:proofErr w:type="spellStart"/>
      <w:proofErr w:type="gramStart"/>
      <w:r w:rsidRPr="000B7791">
        <w:rPr>
          <w:i/>
        </w:rPr>
        <w:t>Dicksonia</w:t>
      </w:r>
      <w:proofErr w:type="spellEnd"/>
      <w:r w:rsidRPr="000B7791">
        <w:rPr>
          <w:i/>
        </w:rPr>
        <w:t xml:space="preserve"> </w:t>
      </w:r>
      <w:proofErr w:type="spellStart"/>
      <w:r w:rsidRPr="000B7791">
        <w:rPr>
          <w:i/>
        </w:rPr>
        <w:t>sellowiana</w:t>
      </w:r>
      <w:proofErr w:type="spellEnd"/>
      <w:r>
        <w:t xml:space="preserve"> Hook.</w:t>
      </w:r>
      <w:proofErr w:type="gramEnd"/>
      <w:r>
        <w:t xml:space="preserve"> (–). </w:t>
      </w:r>
      <w:proofErr w:type="gramStart"/>
      <w:r>
        <w:t>Larsson 804 (UPS).</w:t>
      </w:r>
      <w:proofErr w:type="gramEnd"/>
      <w:r>
        <w:t xml:space="preserve"> Brazil: Cult Uppsala Bot. Garden. –; –; –; –; –; –; –; –; –; –; –; –; –; –; –; KF553848; –; –; KF553879; –. </w:t>
      </w:r>
      <w:r w:rsidRPr="000B7791">
        <w:rPr>
          <w:b/>
        </w:rPr>
        <w:t>LINDSAEACEAE</w:t>
      </w:r>
      <w:r>
        <w:t xml:space="preserve">: </w:t>
      </w:r>
      <w:r w:rsidRPr="000B7791">
        <w:rPr>
          <w:i/>
        </w:rPr>
        <w:t xml:space="preserve">Lindsaea </w:t>
      </w:r>
      <w:proofErr w:type="spellStart"/>
      <w:r w:rsidRPr="000B7791">
        <w:rPr>
          <w:i/>
        </w:rPr>
        <w:t>lancea</w:t>
      </w:r>
      <w:proofErr w:type="spellEnd"/>
      <w:r>
        <w:t xml:space="preserve"> (L.) </w:t>
      </w:r>
      <w:proofErr w:type="spellStart"/>
      <w:r>
        <w:t>Bedd</w:t>
      </w:r>
      <w:proofErr w:type="spellEnd"/>
      <w:r>
        <w:t>. (7372)</w:t>
      </w:r>
      <w:proofErr w:type="gramStart"/>
      <w:r>
        <w:t>. Rothfels et al. 3616 (DUKE).</w:t>
      </w:r>
      <w:proofErr w:type="gramEnd"/>
      <w:r>
        <w:t xml:space="preserve"> Ecuador: Zamora-Chinchipe. –; –; –; KF553705; KF553717; KF553763; KF553777; –; KF553799; –; KF553747; –; KF553821; –; KF553836; KF553850; –; –; –; –. </w:t>
      </w:r>
      <w:r w:rsidRPr="000B7791">
        <w:rPr>
          <w:b/>
        </w:rPr>
        <w:t>SACCOLOMATACEAE</w:t>
      </w:r>
      <w:r>
        <w:t xml:space="preserve">: </w:t>
      </w:r>
      <w:proofErr w:type="spellStart"/>
      <w:r w:rsidRPr="000B7791">
        <w:rPr>
          <w:i/>
        </w:rPr>
        <w:t>Saccoloma</w:t>
      </w:r>
      <w:proofErr w:type="spellEnd"/>
      <w:r w:rsidRPr="000B7791">
        <w:rPr>
          <w:i/>
        </w:rPr>
        <w:t xml:space="preserve"> </w:t>
      </w:r>
      <w:proofErr w:type="spellStart"/>
      <w:r w:rsidRPr="000B7791">
        <w:rPr>
          <w:i/>
        </w:rPr>
        <w:t>inaequale</w:t>
      </w:r>
      <w:proofErr w:type="spellEnd"/>
      <w:r>
        <w:t xml:space="preserve"> (</w:t>
      </w:r>
      <w:proofErr w:type="spellStart"/>
      <w:r>
        <w:t>Kunze</w:t>
      </w:r>
      <w:proofErr w:type="spellEnd"/>
      <w:r>
        <w:t xml:space="preserve">) </w:t>
      </w:r>
      <w:proofErr w:type="spellStart"/>
      <w:r>
        <w:t>Mett</w:t>
      </w:r>
      <w:proofErr w:type="spellEnd"/>
      <w:r>
        <w:t>. (5106)</w:t>
      </w:r>
      <w:proofErr w:type="gramStart"/>
      <w:r>
        <w:t xml:space="preserve">. </w:t>
      </w:r>
      <w:proofErr w:type="spellStart"/>
      <w:r>
        <w:t>Sundue</w:t>
      </w:r>
      <w:proofErr w:type="spellEnd"/>
      <w:r>
        <w:t xml:space="preserve"> 1360 (NY).</w:t>
      </w:r>
      <w:proofErr w:type="gramEnd"/>
      <w:r>
        <w:t xml:space="preserve"> Costa Rica: Heredia. KF553679; –; –; KF553706; –; KF553766; KF553779; –; KF553802; KF553735; KF553750; –; KF553824; –; KF553839; –; –; –; –; –. </w:t>
      </w:r>
      <w:r w:rsidRPr="000B7791">
        <w:rPr>
          <w:b/>
        </w:rPr>
        <w:t>PTERIDACEAE</w:t>
      </w:r>
      <w:r>
        <w:t xml:space="preserve">: </w:t>
      </w:r>
      <w:r w:rsidRPr="000B7791">
        <w:rPr>
          <w:i/>
        </w:rPr>
        <w:t xml:space="preserve">Adiantum </w:t>
      </w:r>
      <w:proofErr w:type="spellStart"/>
      <w:r w:rsidRPr="000B7791">
        <w:rPr>
          <w:i/>
        </w:rPr>
        <w:t>aleuticum</w:t>
      </w:r>
      <w:proofErr w:type="spellEnd"/>
      <w:r>
        <w:t xml:space="preserve"> (</w:t>
      </w:r>
      <w:proofErr w:type="spellStart"/>
      <w:r>
        <w:t>Rupr</w:t>
      </w:r>
      <w:proofErr w:type="spellEnd"/>
      <w:r>
        <w:t xml:space="preserve">.) </w:t>
      </w:r>
      <w:proofErr w:type="gramStart"/>
      <w:r>
        <w:t>C.A. Paris (8577).</w:t>
      </w:r>
      <w:proofErr w:type="gramEnd"/>
      <w:r>
        <w:t xml:space="preserve"> </w:t>
      </w:r>
      <w:proofErr w:type="gramStart"/>
      <w:r>
        <w:t xml:space="preserve">Rothfels &amp; </w:t>
      </w:r>
      <w:proofErr w:type="spellStart"/>
      <w:r>
        <w:t>Zylinski</w:t>
      </w:r>
      <w:proofErr w:type="spellEnd"/>
      <w:r>
        <w:t xml:space="preserve"> 4097 (DUKE).</w:t>
      </w:r>
      <w:proofErr w:type="gramEnd"/>
      <w:r>
        <w:t xml:space="preserve"> Canada: British Columbia. –; –; –; –; –; –; –; KF553781; –; –; –; –; –; –; –; –; –; –; –; –. </w:t>
      </w:r>
      <w:r w:rsidRPr="000B7791">
        <w:rPr>
          <w:i/>
        </w:rPr>
        <w:t xml:space="preserve">Adiantum </w:t>
      </w:r>
      <w:proofErr w:type="spellStart"/>
      <w:r w:rsidRPr="000B7791">
        <w:rPr>
          <w:i/>
        </w:rPr>
        <w:t>pedatum</w:t>
      </w:r>
      <w:proofErr w:type="spellEnd"/>
      <w:r>
        <w:t xml:space="preserve"> L. (8974). </w:t>
      </w:r>
      <w:proofErr w:type="gramStart"/>
      <w:r>
        <w:t xml:space="preserve">Rothfels &amp; </w:t>
      </w:r>
      <w:proofErr w:type="spellStart"/>
      <w:r>
        <w:t>Rushworth</w:t>
      </w:r>
      <w:proofErr w:type="spellEnd"/>
      <w:r>
        <w:t xml:space="preserve"> 4166 (DUKE).</w:t>
      </w:r>
      <w:proofErr w:type="gramEnd"/>
      <w:r>
        <w:t xml:space="preserve"> U.S.A.: North Carolina. KF553667; –; KF553691; KF553696; KF553709; KF553753; KF553769; –; KF553791; KF553723; KF553738; –; KF553812; –; KF553827; KF553841; –; KF553864; –; KF553885. </w:t>
      </w:r>
      <w:r w:rsidRPr="000B7791">
        <w:rPr>
          <w:i/>
        </w:rPr>
        <w:t xml:space="preserve">Cheilanthes </w:t>
      </w:r>
      <w:proofErr w:type="spellStart"/>
      <w:r w:rsidRPr="000B7791">
        <w:rPr>
          <w:i/>
        </w:rPr>
        <w:t>covillei</w:t>
      </w:r>
      <w:proofErr w:type="spellEnd"/>
      <w:r>
        <w:t xml:space="preserve"> Maxon (3845). </w:t>
      </w:r>
      <w:proofErr w:type="gramStart"/>
      <w:r>
        <w:t>Windham &amp; Pryer 3436 (DUKE).</w:t>
      </w:r>
      <w:proofErr w:type="gramEnd"/>
      <w:r>
        <w:t xml:space="preserve"> U.S.A.: California. KF553670; KF553683; –; KF553700; KF553711; KF553758; KF553771; –; KF553793; KF553725; KF553741; –; KF553815; –; KF553830; KF553843; –; KF553866; KF553875; KF553887. </w:t>
      </w:r>
      <w:r w:rsidRPr="000B7791">
        <w:rPr>
          <w:i/>
        </w:rPr>
        <w:t xml:space="preserve">Cryptogramma </w:t>
      </w:r>
      <w:proofErr w:type="spellStart"/>
      <w:r w:rsidRPr="000B7791">
        <w:rPr>
          <w:i/>
        </w:rPr>
        <w:t>acrostichoides</w:t>
      </w:r>
      <w:proofErr w:type="spellEnd"/>
      <w:r>
        <w:t xml:space="preserve"> R.Br. (8514). </w:t>
      </w:r>
      <w:proofErr w:type="gramStart"/>
      <w:r>
        <w:t xml:space="preserve">Rothfels &amp; </w:t>
      </w:r>
      <w:proofErr w:type="spellStart"/>
      <w:r>
        <w:t>Zylinski</w:t>
      </w:r>
      <w:proofErr w:type="spellEnd"/>
      <w:r>
        <w:t xml:space="preserve"> 4078 (DUKE).</w:t>
      </w:r>
      <w:proofErr w:type="gramEnd"/>
      <w:r>
        <w:t xml:space="preserve"> Canada: British Columbia. –; –; –; –; –; –; –; –; –; –; –; –; –; –; –; KF553844; –; KF553867; –</w:t>
      </w:r>
      <w:proofErr w:type="gramStart"/>
      <w:r>
        <w:t>;</w:t>
      </w:r>
      <w:proofErr w:type="gramEnd"/>
      <w:r>
        <w:t xml:space="preserve"> KF553888. </w:t>
      </w:r>
      <w:r w:rsidRPr="000B7791">
        <w:rPr>
          <w:i/>
        </w:rPr>
        <w:t xml:space="preserve">Cryptogramma </w:t>
      </w:r>
      <w:proofErr w:type="spellStart"/>
      <w:r w:rsidRPr="000B7791">
        <w:rPr>
          <w:i/>
        </w:rPr>
        <w:t>acrostichoides</w:t>
      </w:r>
      <w:proofErr w:type="spellEnd"/>
      <w:r>
        <w:t xml:space="preserve"> R.Br. (8525). </w:t>
      </w:r>
      <w:proofErr w:type="gramStart"/>
      <w:r>
        <w:t xml:space="preserve">Rothfels &amp; </w:t>
      </w:r>
      <w:proofErr w:type="spellStart"/>
      <w:r>
        <w:t>Zylinski</w:t>
      </w:r>
      <w:proofErr w:type="spellEnd"/>
      <w:r>
        <w:t xml:space="preserve"> 4088.1 (DUKE).</w:t>
      </w:r>
      <w:proofErr w:type="gramEnd"/>
      <w:r>
        <w:t xml:space="preserve"> Canada: British Columbia. KF553671; –; –; KF553701; KF553712; KF553759; –; –; KF553794; KF553726; KF553742; –; KF553816; –; KF553831; –; –; –; –; –. </w:t>
      </w:r>
      <w:r w:rsidRPr="000B7791">
        <w:rPr>
          <w:b/>
        </w:rPr>
        <w:t>DENNSTAEDTIACEAE</w:t>
      </w:r>
      <w:r>
        <w:t xml:space="preserve">: </w:t>
      </w:r>
      <w:r w:rsidRPr="000B7791">
        <w:rPr>
          <w:i/>
        </w:rPr>
        <w:t xml:space="preserve">Dennstaedtia </w:t>
      </w:r>
      <w:proofErr w:type="spellStart"/>
      <w:r w:rsidRPr="000B7791">
        <w:rPr>
          <w:i/>
        </w:rPr>
        <w:t>punctilobula</w:t>
      </w:r>
      <w:proofErr w:type="spellEnd"/>
      <w:r>
        <w:t xml:space="preserve"> (</w:t>
      </w:r>
      <w:proofErr w:type="spellStart"/>
      <w:r>
        <w:t>Michx</w:t>
      </w:r>
      <w:proofErr w:type="spellEnd"/>
      <w:r>
        <w:t xml:space="preserve">.) </w:t>
      </w:r>
      <w:proofErr w:type="spellStart"/>
      <w:proofErr w:type="gramStart"/>
      <w:r>
        <w:t>T.Moore</w:t>
      </w:r>
      <w:proofErr w:type="spellEnd"/>
      <w:r>
        <w:t xml:space="preserve"> (8975).</w:t>
      </w:r>
      <w:proofErr w:type="gramEnd"/>
      <w:r>
        <w:t xml:space="preserve"> </w:t>
      </w:r>
      <w:proofErr w:type="gramStart"/>
      <w:r>
        <w:t xml:space="preserve">Rothfels &amp; </w:t>
      </w:r>
      <w:proofErr w:type="spellStart"/>
      <w:r>
        <w:t>Rushworth</w:t>
      </w:r>
      <w:proofErr w:type="spellEnd"/>
      <w:r>
        <w:t xml:space="preserve"> 4167 (DUKE).</w:t>
      </w:r>
      <w:proofErr w:type="gramEnd"/>
      <w:r>
        <w:t xml:space="preserve"> U.S.A.: North Carolina. KF553673; KF553685; KF553693; KF553703; KF553715; –; KF553775; –; KF553797; KF553729; KF553745; –; KF553819; –; KF553834; KF553847; KF553859; KF553870; KF553878; –. </w:t>
      </w:r>
      <w:r w:rsidRPr="000B7791">
        <w:rPr>
          <w:b/>
        </w:rPr>
        <w:t>EUPOLYPODS I</w:t>
      </w:r>
      <w:r>
        <w:t xml:space="preserve">: </w:t>
      </w:r>
      <w:r w:rsidRPr="000B7791">
        <w:rPr>
          <w:i/>
        </w:rPr>
        <w:t xml:space="preserve">Dryopteris </w:t>
      </w:r>
      <w:proofErr w:type="spellStart"/>
      <w:r w:rsidRPr="000B7791">
        <w:rPr>
          <w:i/>
        </w:rPr>
        <w:t>intermedia</w:t>
      </w:r>
      <w:proofErr w:type="spellEnd"/>
      <w:r>
        <w:t xml:space="preserve"> (</w:t>
      </w:r>
      <w:proofErr w:type="spellStart"/>
      <w:r>
        <w:t>Muhl</w:t>
      </w:r>
      <w:proofErr w:type="spellEnd"/>
      <w:r>
        <w:t xml:space="preserve">. ex </w:t>
      </w:r>
      <w:proofErr w:type="spellStart"/>
      <w:r>
        <w:t>Willd</w:t>
      </w:r>
      <w:proofErr w:type="spellEnd"/>
      <w:r>
        <w:t xml:space="preserve">.) </w:t>
      </w:r>
      <w:proofErr w:type="spellStart"/>
      <w:proofErr w:type="gramStart"/>
      <w:r>
        <w:t>A.Gray</w:t>
      </w:r>
      <w:proofErr w:type="spellEnd"/>
      <w:r>
        <w:t xml:space="preserve"> (8720).</w:t>
      </w:r>
      <w:proofErr w:type="gramEnd"/>
      <w:r>
        <w:t xml:space="preserve"> </w:t>
      </w:r>
      <w:proofErr w:type="gramStart"/>
      <w:r>
        <w:t>Tripp 224 (DUKE).</w:t>
      </w:r>
      <w:proofErr w:type="gramEnd"/>
      <w:r>
        <w:t xml:space="preserve"> U.S.A.: North Carolina. –; –; –; –; –; KF553762; –; –; –; –; –; –; –; –; –; –; –; –; –; –. </w:t>
      </w:r>
      <w:r w:rsidRPr="00B87E17">
        <w:rPr>
          <w:i/>
        </w:rPr>
        <w:t xml:space="preserve">Dryopteris </w:t>
      </w:r>
      <w:proofErr w:type="spellStart"/>
      <w:r w:rsidRPr="00B87E17">
        <w:rPr>
          <w:i/>
        </w:rPr>
        <w:t>intermedia</w:t>
      </w:r>
      <w:proofErr w:type="spellEnd"/>
      <w:r>
        <w:t xml:space="preserve"> (</w:t>
      </w:r>
      <w:proofErr w:type="spellStart"/>
      <w:r>
        <w:t>Muhl</w:t>
      </w:r>
      <w:proofErr w:type="spellEnd"/>
      <w:r>
        <w:t xml:space="preserve">. ex </w:t>
      </w:r>
      <w:proofErr w:type="spellStart"/>
      <w:r>
        <w:t>Willd</w:t>
      </w:r>
      <w:proofErr w:type="spellEnd"/>
      <w:r>
        <w:t xml:space="preserve">.) </w:t>
      </w:r>
      <w:proofErr w:type="spellStart"/>
      <w:proofErr w:type="gramStart"/>
      <w:r>
        <w:t>A.Gray</w:t>
      </w:r>
      <w:proofErr w:type="spellEnd"/>
      <w:r>
        <w:t xml:space="preserve"> (8971).</w:t>
      </w:r>
      <w:proofErr w:type="gramEnd"/>
      <w:r>
        <w:t xml:space="preserve"> </w:t>
      </w:r>
      <w:proofErr w:type="gramStart"/>
      <w:r>
        <w:t xml:space="preserve">Rothfels &amp; </w:t>
      </w:r>
      <w:proofErr w:type="spellStart"/>
      <w:r>
        <w:t>Rushworth</w:t>
      </w:r>
      <w:proofErr w:type="spellEnd"/>
      <w:r>
        <w:t xml:space="preserve"> 4163 (DUKE).</w:t>
      </w:r>
      <w:proofErr w:type="gramEnd"/>
      <w:r>
        <w:t xml:space="preserve"> U.S.A.: North Carolina. KF553674; KF553686; KF553694; KF553704; KF553716; –; KF553776; KF553785; KF553798; KF553730 and KF553731; KF553746; KF553808; KF553820; –; KF553835; KF553849; KF553860; –; KF553880; KF553891. </w:t>
      </w:r>
      <w:r w:rsidRPr="00B87E17">
        <w:rPr>
          <w:i/>
        </w:rPr>
        <w:t xml:space="preserve">Polypodium </w:t>
      </w:r>
      <w:proofErr w:type="spellStart"/>
      <w:r w:rsidRPr="00B87E17">
        <w:rPr>
          <w:i/>
        </w:rPr>
        <w:t>amorphum</w:t>
      </w:r>
      <w:proofErr w:type="spellEnd"/>
      <w:r>
        <w:t xml:space="preserve"> </w:t>
      </w:r>
      <w:proofErr w:type="spellStart"/>
      <w:r>
        <w:t>Suksd</w:t>
      </w:r>
      <w:proofErr w:type="spellEnd"/>
      <w:r>
        <w:t>. (7771)</w:t>
      </w:r>
      <w:proofErr w:type="gramStart"/>
      <w:r>
        <w:t>. Sigel 2010-125 (DUKE).</w:t>
      </w:r>
      <w:proofErr w:type="gramEnd"/>
      <w:r>
        <w:t xml:space="preserve"> U.S.A.: Washington. KF553675 and KF553676; KF553688; –; –; KF553718; KF553764; –; KF553786; KF553800; KF553732 and KF553733; KF553748; KF553809; –; KF553822; KF553837; KF553851; KF553861; KF553871; KF553881; KF553892. </w:t>
      </w:r>
      <w:r w:rsidRPr="00B87E17">
        <w:rPr>
          <w:i/>
        </w:rPr>
        <w:t xml:space="preserve">Polypodium </w:t>
      </w:r>
      <w:proofErr w:type="spellStart"/>
      <w:r w:rsidRPr="00B87E17">
        <w:rPr>
          <w:i/>
        </w:rPr>
        <w:t>glycyrrhiza</w:t>
      </w:r>
      <w:proofErr w:type="spellEnd"/>
      <w:r>
        <w:t xml:space="preserve"> D.C. Eaton (8523). </w:t>
      </w:r>
      <w:proofErr w:type="gramStart"/>
      <w:r>
        <w:t xml:space="preserve">Rothfels &amp; </w:t>
      </w:r>
      <w:proofErr w:type="spellStart"/>
      <w:r>
        <w:t>Zylinski</w:t>
      </w:r>
      <w:proofErr w:type="spellEnd"/>
      <w:r>
        <w:t xml:space="preserve"> 4086 (DUKE).</w:t>
      </w:r>
      <w:proofErr w:type="gramEnd"/>
      <w:r>
        <w:t xml:space="preserve"> Canada: British Columbia. KF553677 and KF553678; KF553687; ‡; –; KF553719 and KF553720; KF553765; KF553778; KF553787; KF553801; KF553734; KF553749; KF553810; KF553823; –; KF553838; KF553852; KF553862; –; KF553882; KF553893. </w:t>
      </w:r>
      <w:r w:rsidRPr="00B87E17">
        <w:rPr>
          <w:b/>
        </w:rPr>
        <w:t>EUPOLYPODS II</w:t>
      </w:r>
      <w:r>
        <w:t xml:space="preserve">: </w:t>
      </w:r>
      <w:r w:rsidRPr="00B87E17">
        <w:rPr>
          <w:i/>
        </w:rPr>
        <w:t xml:space="preserve">Athyrium </w:t>
      </w:r>
      <w:proofErr w:type="spellStart"/>
      <w:r w:rsidRPr="00B87E17">
        <w:rPr>
          <w:i/>
        </w:rPr>
        <w:t>filix-femina</w:t>
      </w:r>
      <w:proofErr w:type="spellEnd"/>
      <w:r>
        <w:t xml:space="preserve"> (L.) Roth (8973). </w:t>
      </w:r>
      <w:proofErr w:type="gramStart"/>
      <w:r>
        <w:t xml:space="preserve">Rothfels &amp; </w:t>
      </w:r>
      <w:proofErr w:type="spellStart"/>
      <w:r>
        <w:t>Rushworth</w:t>
      </w:r>
      <w:proofErr w:type="spellEnd"/>
      <w:r>
        <w:t xml:space="preserve"> 4165 (DUKE).</w:t>
      </w:r>
      <w:proofErr w:type="gramEnd"/>
      <w:r>
        <w:t xml:space="preserve"> U.S.A.: North Carolina. KF553668; KF553682; KF553692; KF553698; KF553710; KF553756 and KF553757; KF553770; KF553782; –; KF553724; KF553740; KF553805; KF553814; –; KF553829; KF553842; KF553856; KF553865; KF553874; KF553886. </w:t>
      </w:r>
      <w:proofErr w:type="gramStart"/>
      <w:r w:rsidRPr="00B87E17">
        <w:rPr>
          <w:i/>
        </w:rPr>
        <w:t>Cystopteris bulbifera</w:t>
      </w:r>
      <w:r>
        <w:t xml:space="preserve"> (L.) </w:t>
      </w:r>
      <w:proofErr w:type="spellStart"/>
      <w:r>
        <w:t>Bernh</w:t>
      </w:r>
      <w:proofErr w:type="spellEnd"/>
      <w:r>
        <w:t>.</w:t>
      </w:r>
      <w:proofErr w:type="gramEnd"/>
      <w:r>
        <w:t xml:space="preserve"> (7667)</w:t>
      </w:r>
      <w:proofErr w:type="gramStart"/>
      <w:r>
        <w:t>. Rothfels &amp; Rothfels 3947 (DUKE).</w:t>
      </w:r>
      <w:proofErr w:type="gramEnd"/>
      <w:r>
        <w:t xml:space="preserve"> Canada: Ontario. KF553669; KF553684; –; KF553699; KF553713; KF553760; KF553772 and KF553773; KF553783; KF553795; KF553727; KF553743; KF553806; KF553817; –; KF553832; KF553845; KF553857; KF553868; KF553876; KF553889. </w:t>
      </w:r>
      <w:r w:rsidRPr="00B87E17">
        <w:rPr>
          <w:i/>
        </w:rPr>
        <w:t xml:space="preserve">Cystopteris </w:t>
      </w:r>
      <w:proofErr w:type="spellStart"/>
      <w:r w:rsidRPr="00B87E17">
        <w:rPr>
          <w:i/>
        </w:rPr>
        <w:t>protrusa</w:t>
      </w:r>
      <w:proofErr w:type="spellEnd"/>
      <w:r>
        <w:t xml:space="preserve"> (</w:t>
      </w:r>
      <w:proofErr w:type="spellStart"/>
      <w:r>
        <w:t>Weath</w:t>
      </w:r>
      <w:proofErr w:type="spellEnd"/>
      <w:r>
        <w:t xml:space="preserve">.) </w:t>
      </w:r>
      <w:proofErr w:type="gramStart"/>
      <w:r>
        <w:t>Blasdell (6454).</w:t>
      </w:r>
      <w:proofErr w:type="gramEnd"/>
      <w:r>
        <w:t xml:space="preserve"> </w:t>
      </w:r>
      <w:proofErr w:type="gramStart"/>
      <w:r>
        <w:t>Rothfels 2890 (DUKE).</w:t>
      </w:r>
      <w:proofErr w:type="gramEnd"/>
      <w:r>
        <w:t xml:space="preserve"> U.S.A.: Virginia. KF553666 and KF553672; ‡; –; KF553702; KF553714; KF553761; KF553774; KF553784; KF553796; KF553728; KF553744; KF553807; KF553818; –; KF553833; KF553846; KF553858; KF553869; KF553877; KF553890. </w:t>
      </w:r>
      <w:proofErr w:type="gramStart"/>
      <w:r w:rsidRPr="00B87E17">
        <w:rPr>
          <w:i/>
        </w:rPr>
        <w:t xml:space="preserve">Thelypteris </w:t>
      </w:r>
      <w:proofErr w:type="spellStart"/>
      <w:r w:rsidRPr="00B87E17">
        <w:rPr>
          <w:i/>
        </w:rPr>
        <w:t>noveboracensis</w:t>
      </w:r>
      <w:proofErr w:type="spellEnd"/>
      <w:r>
        <w:t xml:space="preserve"> (L.) </w:t>
      </w:r>
      <w:proofErr w:type="spellStart"/>
      <w:r>
        <w:t>Nieuwl</w:t>
      </w:r>
      <w:proofErr w:type="spellEnd"/>
      <w:r>
        <w:t>.</w:t>
      </w:r>
      <w:proofErr w:type="gramEnd"/>
      <w:r>
        <w:t xml:space="preserve"> (8972)</w:t>
      </w:r>
      <w:proofErr w:type="gramStart"/>
      <w:r>
        <w:t xml:space="preserve">. Rothfels &amp; </w:t>
      </w:r>
      <w:proofErr w:type="spellStart"/>
      <w:r>
        <w:t>Rushworth</w:t>
      </w:r>
      <w:proofErr w:type="spellEnd"/>
      <w:r>
        <w:t xml:space="preserve"> 4164 (DUKE).</w:t>
      </w:r>
      <w:proofErr w:type="gramEnd"/>
      <w:r>
        <w:t xml:space="preserve"> U.S.A.: North Carolina. KF553680; KF553689; KF553695; KF553707; KF553721; KF553767; KF553780; KF553788; KF553803; KF553736; KF553751; KF553811; KF553825; –; KF553840; KF553853; KF553855; KF553872; KF553883; KF553894. </w:t>
      </w:r>
      <w:proofErr w:type="gramStart"/>
      <w:r w:rsidRPr="00B87E17">
        <w:rPr>
          <w:i/>
        </w:rPr>
        <w:t xml:space="preserve">Woodsia </w:t>
      </w:r>
      <w:proofErr w:type="spellStart"/>
      <w:r w:rsidRPr="00B87E17">
        <w:rPr>
          <w:i/>
        </w:rPr>
        <w:t>ilvensis</w:t>
      </w:r>
      <w:proofErr w:type="spellEnd"/>
      <w:r>
        <w:t xml:space="preserve"> (L.) R.Br. (7968).</w:t>
      </w:r>
      <w:proofErr w:type="gramEnd"/>
      <w:r>
        <w:t xml:space="preserve"> </w:t>
      </w:r>
      <w:proofErr w:type="gramStart"/>
      <w:r>
        <w:t>Larsson 303 (UPS).</w:t>
      </w:r>
      <w:proofErr w:type="gramEnd"/>
      <w:r>
        <w:t xml:space="preserve"> Norway: Troms. KF553681; KF553690; –; KF553708; KF553722; KF553768; –; KF553789; KF553790; KF553737; KF553752; KF553804; KF553826; –; –; KF553854; KF553863; KF553873; KF553884; –. </w:t>
      </w:r>
    </w:p>
    <w:p w:rsidR="00F72D6A" w:rsidRDefault="00034C3E" w:rsidP="00034C3E">
      <w:pPr>
        <w:spacing w:line="480" w:lineRule="auto"/>
      </w:pPr>
      <w:r>
        <w:rPr>
          <w:rFonts w:ascii="Cambria" w:hAnsi="Cambria"/>
        </w:rPr>
        <w:t>‡</w:t>
      </w:r>
      <w:r>
        <w:t xml:space="preserve"> </w:t>
      </w:r>
      <w:proofErr w:type="gramStart"/>
      <w:r>
        <w:t>These</w:t>
      </w:r>
      <w:proofErr w:type="gramEnd"/>
      <w:r>
        <w:t xml:space="preserve"> sequences were less that 200 </w:t>
      </w:r>
      <w:proofErr w:type="spellStart"/>
      <w:r>
        <w:t>basepairs</w:t>
      </w:r>
      <w:proofErr w:type="spellEnd"/>
      <w:r>
        <w:t xml:space="preserve"> long, and were thus not accepted for archiving by </w:t>
      </w:r>
      <w:proofErr w:type="spellStart"/>
      <w:r>
        <w:t>GenBank</w:t>
      </w:r>
      <w:proofErr w:type="spellEnd"/>
      <w:r>
        <w:t>. They are available from CJR by request.</w:t>
      </w:r>
    </w:p>
    <w:sectPr w:rsidR="00F72D6A" w:rsidSect="00E87C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C3E"/>
    <w:rsid w:val="00034C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3E"/>
  </w:style>
  <w:style w:type="paragraph" w:styleId="Heading1">
    <w:name w:val="heading 1"/>
    <w:basedOn w:val="Normal"/>
    <w:next w:val="Normal"/>
    <w:link w:val="Heading1Char"/>
    <w:uiPriority w:val="99"/>
    <w:qFormat/>
    <w:rsid w:val="00034C3E"/>
    <w:pPr>
      <w:keepNext/>
      <w:keepLines/>
      <w:spacing w:before="480" w:after="0"/>
      <w:outlineLvl w:val="0"/>
    </w:pPr>
    <w:rPr>
      <w:rFonts w:ascii="Calibri" w:eastAsia="ＭＳ ゴシック" w:hAnsi="Calibri" w:cs="Times New Roman"/>
      <w:b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C3E"/>
    <w:pPr>
      <w:keepNext/>
      <w:keepLines/>
      <w:spacing w:before="200" w:after="0"/>
      <w:outlineLvl w:val="1"/>
    </w:pPr>
    <w:rPr>
      <w:rFonts w:ascii="Calibri" w:eastAsia="ＭＳ ゴシック" w:hAnsi="Calibri" w:cs="Times New Roman"/>
      <w:b/>
      <w:bCs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C3E"/>
    <w:pPr>
      <w:keepNext/>
      <w:keepLines/>
      <w:spacing w:before="200" w:after="0"/>
      <w:outlineLvl w:val="2"/>
    </w:pPr>
    <w:rPr>
      <w:rFonts w:ascii="Calibri" w:eastAsia="ＭＳ ゴシック" w:hAnsi="Calibri" w:cs="Times New Roman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4C3E"/>
    <w:rPr>
      <w:rFonts w:ascii="Calibri" w:eastAsia="ＭＳ ゴシック" w:hAnsi="Calibri" w:cs="Times New Roman"/>
      <w:b/>
      <w:bCs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34C3E"/>
    <w:rPr>
      <w:rFonts w:ascii="Calibri" w:eastAsia="ＭＳ ゴシック" w:hAnsi="Calibri" w:cs="Times New Roman"/>
      <w:b/>
      <w:bCs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4C3E"/>
    <w:rPr>
      <w:rFonts w:ascii="Calibri" w:eastAsia="ＭＳ ゴシック" w:hAnsi="Calibri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rsid w:val="00034C3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34C3E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C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4C3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4C3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rsid w:val="00034C3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4C3E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34C3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34C3E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34C3E"/>
    <w:rPr>
      <w:rFonts w:cs="Times New Roman"/>
      <w:color w:val="4600A5"/>
      <w:u w:val="single"/>
    </w:rPr>
  </w:style>
  <w:style w:type="paragraph" w:customStyle="1" w:styleId="font5">
    <w:name w:val="font5"/>
    <w:basedOn w:val="Normal"/>
    <w:uiPriority w:val="99"/>
    <w:rsid w:val="00034C3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uiPriority w:val="99"/>
    <w:rsid w:val="00034C3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al"/>
    <w:uiPriority w:val="99"/>
    <w:rsid w:val="00034C3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24">
    <w:name w:val="xl24"/>
    <w:basedOn w:val="Normal"/>
    <w:uiPriority w:val="99"/>
    <w:rsid w:val="00034C3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25">
    <w:name w:val="xl25"/>
    <w:basedOn w:val="Normal"/>
    <w:uiPriority w:val="99"/>
    <w:rsid w:val="00034C3E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26">
    <w:name w:val="xl26"/>
    <w:basedOn w:val="Normal"/>
    <w:uiPriority w:val="99"/>
    <w:rsid w:val="00034C3E"/>
    <w:pPr>
      <w:spacing w:beforeLines="1" w:afterLines="1"/>
      <w:jc w:val="center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Normal"/>
    <w:uiPriority w:val="99"/>
    <w:rsid w:val="00034C3E"/>
    <w:pPr>
      <w:spacing w:beforeLines="1" w:afterLines="1"/>
      <w:textAlignment w:val="top"/>
    </w:pPr>
    <w:rPr>
      <w:rFonts w:ascii="Arial" w:hAnsi="Arial"/>
      <w:sz w:val="16"/>
      <w:szCs w:val="16"/>
    </w:rPr>
  </w:style>
  <w:style w:type="paragraph" w:customStyle="1" w:styleId="xl28">
    <w:name w:val="xl28"/>
    <w:basedOn w:val="Normal"/>
    <w:uiPriority w:val="99"/>
    <w:rsid w:val="00034C3E"/>
    <w:pPr>
      <w:spacing w:beforeLines="1" w:afterLines="1"/>
      <w:textAlignment w:val="top"/>
    </w:pPr>
    <w:rPr>
      <w:rFonts w:ascii="Arial" w:hAnsi="Arial"/>
      <w:sz w:val="16"/>
      <w:szCs w:val="16"/>
    </w:rPr>
  </w:style>
  <w:style w:type="paragraph" w:customStyle="1" w:styleId="xl29">
    <w:name w:val="xl29"/>
    <w:basedOn w:val="Normal"/>
    <w:uiPriority w:val="99"/>
    <w:rsid w:val="00034C3E"/>
    <w:pPr>
      <w:spacing w:beforeLines="1" w:afterLines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0">
    <w:name w:val="xl30"/>
    <w:basedOn w:val="Normal"/>
    <w:uiPriority w:val="99"/>
    <w:rsid w:val="00034C3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31">
    <w:name w:val="xl31"/>
    <w:basedOn w:val="Normal"/>
    <w:uiPriority w:val="99"/>
    <w:rsid w:val="00034C3E"/>
    <w:pPr>
      <w:spacing w:beforeLines="1" w:afterLines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Normal"/>
    <w:uiPriority w:val="99"/>
    <w:rsid w:val="00034C3E"/>
    <w:pPr>
      <w:spacing w:beforeLines="1" w:afterLines="1"/>
    </w:pPr>
    <w:rPr>
      <w:rFonts w:ascii="Arial" w:hAnsi="Arial"/>
      <w:color w:val="000000"/>
      <w:sz w:val="16"/>
      <w:szCs w:val="16"/>
    </w:rPr>
  </w:style>
  <w:style w:type="paragraph" w:customStyle="1" w:styleId="xl33">
    <w:name w:val="xl33"/>
    <w:basedOn w:val="Normal"/>
    <w:uiPriority w:val="99"/>
    <w:rsid w:val="00034C3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34">
    <w:name w:val="xl34"/>
    <w:basedOn w:val="Normal"/>
    <w:uiPriority w:val="99"/>
    <w:rsid w:val="00034C3E"/>
    <w:pPr>
      <w:pBdr>
        <w:left w:val="single" w:sz="4" w:space="0" w:color="auto"/>
      </w:pBdr>
      <w:spacing w:beforeLines="1" w:afterLines="1"/>
      <w:jc w:val="center"/>
    </w:pPr>
    <w:rPr>
      <w:rFonts w:ascii="Arial" w:hAnsi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rsid w:val="00034C3E"/>
    <w:pPr>
      <w:pBdr>
        <w:left w:val="single" w:sz="4" w:space="0" w:color="auto"/>
      </w:pBd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36">
    <w:name w:val="xl36"/>
    <w:basedOn w:val="Normal"/>
    <w:uiPriority w:val="99"/>
    <w:rsid w:val="00034C3E"/>
    <w:pPr>
      <w:pBdr>
        <w:left w:val="single" w:sz="4" w:space="0" w:color="auto"/>
      </w:pBdr>
      <w:spacing w:beforeLines="1" w:afterLines="1"/>
      <w:textAlignment w:val="top"/>
    </w:pPr>
    <w:rPr>
      <w:rFonts w:ascii="Arial" w:hAnsi="Arial"/>
      <w:sz w:val="16"/>
      <w:szCs w:val="16"/>
    </w:rPr>
  </w:style>
  <w:style w:type="paragraph" w:customStyle="1" w:styleId="xl37">
    <w:name w:val="xl37"/>
    <w:basedOn w:val="Normal"/>
    <w:uiPriority w:val="99"/>
    <w:rsid w:val="00034C3E"/>
    <w:pPr>
      <w:pBdr>
        <w:left w:val="single" w:sz="4" w:space="0" w:color="auto"/>
      </w:pBdr>
      <w:spacing w:beforeLines="1" w:afterLines="1"/>
      <w:textAlignment w:val="top"/>
    </w:pPr>
    <w:rPr>
      <w:rFonts w:ascii="Arial" w:hAnsi="Arial"/>
      <w:sz w:val="16"/>
      <w:szCs w:val="16"/>
    </w:rPr>
  </w:style>
  <w:style w:type="paragraph" w:customStyle="1" w:styleId="xl38">
    <w:name w:val="xl38"/>
    <w:basedOn w:val="Normal"/>
    <w:uiPriority w:val="99"/>
    <w:rsid w:val="00034C3E"/>
    <w:pPr>
      <w:pBdr>
        <w:left w:val="single" w:sz="4" w:space="0" w:color="auto"/>
      </w:pBdr>
      <w:spacing w:beforeLines="1" w:afterLines="1"/>
    </w:pPr>
    <w:rPr>
      <w:rFonts w:ascii="Arial" w:hAnsi="Arial"/>
      <w:sz w:val="16"/>
      <w:szCs w:val="16"/>
    </w:rPr>
  </w:style>
  <w:style w:type="paragraph" w:customStyle="1" w:styleId="xl39">
    <w:name w:val="xl39"/>
    <w:basedOn w:val="Normal"/>
    <w:uiPriority w:val="99"/>
    <w:rsid w:val="00034C3E"/>
    <w:pPr>
      <w:pBdr>
        <w:left w:val="single" w:sz="4" w:space="0" w:color="auto"/>
      </w:pBdr>
      <w:spacing w:beforeLines="1" w:afterLines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0">
    <w:name w:val="xl40"/>
    <w:basedOn w:val="Normal"/>
    <w:uiPriority w:val="99"/>
    <w:rsid w:val="00034C3E"/>
    <w:pPr>
      <w:pBdr>
        <w:left w:val="single" w:sz="4" w:space="0" w:color="auto"/>
      </w:pBdr>
      <w:spacing w:beforeLines="1" w:afterLines="1"/>
      <w:jc w:val="center"/>
    </w:pPr>
    <w:rPr>
      <w:rFonts w:ascii="Arial" w:hAnsi="Arial"/>
      <w:sz w:val="16"/>
      <w:szCs w:val="16"/>
    </w:rPr>
  </w:style>
  <w:style w:type="paragraph" w:customStyle="1" w:styleId="xl41">
    <w:name w:val="xl41"/>
    <w:basedOn w:val="Normal"/>
    <w:uiPriority w:val="99"/>
    <w:rsid w:val="00034C3E"/>
    <w:pPr>
      <w:spacing w:beforeLines="1" w:afterLines="1"/>
      <w:jc w:val="center"/>
    </w:pPr>
    <w:rPr>
      <w:rFonts w:ascii="Arial" w:hAnsi="Arial"/>
      <w:sz w:val="16"/>
      <w:szCs w:val="16"/>
    </w:rPr>
  </w:style>
  <w:style w:type="paragraph" w:styleId="Revision">
    <w:name w:val="Revision"/>
    <w:hidden/>
    <w:uiPriority w:val="99"/>
    <w:rsid w:val="00034C3E"/>
    <w:pPr>
      <w:spacing w:after="0"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034C3E"/>
    <w:pPr>
      <w:tabs>
        <w:tab w:val="center" w:pos="4320"/>
        <w:tab w:val="right" w:pos="8640"/>
      </w:tabs>
      <w:spacing w:after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4C3E"/>
    <w:rPr>
      <w:rFonts w:cs="Times New Roman"/>
    </w:rPr>
  </w:style>
  <w:style w:type="character" w:styleId="PageNumber">
    <w:name w:val="page number"/>
    <w:basedOn w:val="DefaultParagraphFont"/>
    <w:uiPriority w:val="99"/>
    <w:rsid w:val="00034C3E"/>
    <w:rPr>
      <w:rFonts w:cs="Times New Roman"/>
    </w:rPr>
  </w:style>
  <w:style w:type="character" w:customStyle="1" w:styleId="Absatz-Standardschriftart">
    <w:name w:val="Absatz-Standardschriftart"/>
    <w:uiPriority w:val="99"/>
    <w:rsid w:val="00034C3E"/>
  </w:style>
  <w:style w:type="character" w:customStyle="1" w:styleId="WW-Absatz-Standardschriftart">
    <w:name w:val="WW-Absatz-Standardschriftart"/>
    <w:uiPriority w:val="99"/>
    <w:rsid w:val="00034C3E"/>
  </w:style>
  <w:style w:type="character" w:customStyle="1" w:styleId="WW-Absatz-Standardschriftart1">
    <w:name w:val="WW-Absatz-Standardschriftart1"/>
    <w:uiPriority w:val="99"/>
    <w:rsid w:val="00034C3E"/>
  </w:style>
  <w:style w:type="paragraph" w:customStyle="1" w:styleId="Rubrik">
    <w:name w:val="Rubrik"/>
    <w:basedOn w:val="Normal"/>
    <w:next w:val="BodyText"/>
    <w:uiPriority w:val="99"/>
    <w:rsid w:val="00034C3E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Bildtext">
    <w:name w:val="Bildtext"/>
    <w:basedOn w:val="Normal"/>
    <w:uiPriority w:val="99"/>
    <w:rsid w:val="00034C3E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Frteckning">
    <w:name w:val="Förteckning"/>
    <w:basedOn w:val="Normal"/>
    <w:uiPriority w:val="99"/>
    <w:rsid w:val="00034C3E"/>
    <w:pPr>
      <w:widowControl w:val="0"/>
      <w:suppressLineNumbers/>
      <w:suppressAutoHyphens/>
    </w:pPr>
    <w:rPr>
      <w:rFonts w:cs="Mangal"/>
      <w:lang w:eastAsia="ar-SA"/>
    </w:rPr>
  </w:style>
  <w:style w:type="paragraph" w:customStyle="1" w:styleId="Tabellinnehll">
    <w:name w:val="Tabellinnehåll"/>
    <w:basedOn w:val="Normal"/>
    <w:uiPriority w:val="99"/>
    <w:rsid w:val="00034C3E"/>
    <w:pPr>
      <w:widowControl w:val="0"/>
      <w:suppressLineNumbers/>
      <w:suppressAutoHyphens/>
    </w:pPr>
    <w:rPr>
      <w:rFonts w:cs="Cambria"/>
      <w:lang w:eastAsia="ar-SA"/>
    </w:rPr>
  </w:style>
  <w:style w:type="paragraph" w:customStyle="1" w:styleId="Tabellrubrik">
    <w:name w:val="Tabellrubrik"/>
    <w:basedOn w:val="Tabellinnehll"/>
    <w:uiPriority w:val="99"/>
    <w:rsid w:val="00034C3E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34C3E"/>
    <w:pPr>
      <w:tabs>
        <w:tab w:val="center" w:pos="4320"/>
        <w:tab w:val="right" w:pos="864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4C3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34C3E"/>
    <w:pPr>
      <w:spacing w:after="120"/>
    </w:pPr>
    <w:rPr>
      <w:rFonts w:eastAsia="新細明體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34C3E"/>
    <w:rPr>
      <w:rFonts w:eastAsia="新細明體" w:cs="Times New Roman"/>
    </w:rPr>
  </w:style>
  <w:style w:type="paragraph" w:styleId="List">
    <w:name w:val="List"/>
    <w:basedOn w:val="Normal"/>
    <w:uiPriority w:val="99"/>
    <w:rsid w:val="00034C3E"/>
    <w:pPr>
      <w:ind w:left="360" w:hanging="360"/>
      <w:contextualSpacing/>
    </w:pPr>
    <w:rPr>
      <w:rFonts w:eastAsia="新細明體"/>
    </w:rPr>
  </w:style>
  <w:style w:type="paragraph" w:customStyle="1" w:styleId="Style">
    <w:name w:val="Style"/>
    <w:uiPriority w:val="99"/>
    <w:rsid w:val="00034C3E"/>
    <w:pPr>
      <w:widowControl w:val="0"/>
      <w:suppressAutoHyphens/>
    </w:pPr>
    <w:rPr>
      <w:rFonts w:ascii="Cambria" w:eastAsia="Cambria" w:hAnsi="Cambria" w:cs="Cambria"/>
      <w:lang w:eastAsia="ar-SA"/>
    </w:rPr>
  </w:style>
  <w:style w:type="character" w:styleId="LineNumber">
    <w:name w:val="line number"/>
    <w:basedOn w:val="DefaultParagraphFont"/>
    <w:rsid w:val="0003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5228</Characters>
  <Application>Microsoft Macintosh Word</Application>
  <DocSecurity>0</DocSecurity>
  <Lines>43</Lines>
  <Paragraphs>10</Paragraphs>
  <ScaleCrop>false</ScaleCrop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Rothfels</dc:creator>
  <cp:keywords/>
  <cp:lastModifiedBy>Carl Rothfels</cp:lastModifiedBy>
  <cp:revision>1</cp:revision>
  <dcterms:created xsi:type="dcterms:W3CDTF">2013-09-07T01:32:00Z</dcterms:created>
  <dcterms:modified xsi:type="dcterms:W3CDTF">2013-09-07T01:34:00Z</dcterms:modified>
</cp:coreProperties>
</file>