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CE" w:rsidRDefault="00A251C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32145" cy="4287520"/>
            <wp:effectExtent l="0" t="0" r="8255" b="5080"/>
            <wp:docPr id="10" name="IgAN oxy ms 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AN oxy ms fig 1.png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CE" w:rsidRDefault="00A251CE">
      <w:pPr>
        <w:rPr>
          <w:rFonts w:ascii="Times New Roman" w:hAnsi="Times New Roman"/>
          <w:b/>
          <w:sz w:val="24"/>
          <w:szCs w:val="24"/>
        </w:rPr>
      </w:pPr>
    </w:p>
    <w:p w:rsidR="004F4B2E" w:rsidRDefault="00A251CE" w:rsidP="00A251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S1. </w:t>
      </w:r>
      <w:proofErr w:type="gramStart"/>
      <w:r w:rsidRPr="00A251CE">
        <w:rPr>
          <w:rFonts w:ascii="Times New Roman" w:hAnsi="Times New Roman"/>
          <w:sz w:val="24"/>
          <w:szCs w:val="24"/>
        </w:rPr>
        <w:t>Fatty acid precursors and their oxylipin products.</w:t>
      </w:r>
      <w:proofErr w:type="gramEnd"/>
      <w:r w:rsidRPr="00A251CE">
        <w:rPr>
          <w:rFonts w:ascii="Times New Roman" w:hAnsi="Times New Roman"/>
          <w:sz w:val="24"/>
          <w:szCs w:val="24"/>
        </w:rPr>
        <w:t xml:space="preserve"> The fatty acids linoleic acid (LA, 18:2n6), </w:t>
      </w:r>
      <w:r>
        <w:rPr>
          <w:rFonts w:ascii="Times New Roman" w:hAnsi="Times New Roman"/>
          <w:sz w:val="24"/>
          <w:szCs w:val="24"/>
        </w:rPr>
        <w:t>α</w:t>
      </w:r>
      <w:r w:rsidRPr="00A251CE">
        <w:rPr>
          <w:rFonts w:ascii="Times New Roman" w:hAnsi="Times New Roman"/>
          <w:sz w:val="24"/>
          <w:szCs w:val="24"/>
        </w:rPr>
        <w:t>-</w:t>
      </w:r>
      <w:proofErr w:type="spellStart"/>
      <w:r w:rsidRPr="00A251CE">
        <w:rPr>
          <w:rFonts w:ascii="Times New Roman" w:hAnsi="Times New Roman"/>
          <w:sz w:val="24"/>
          <w:szCs w:val="24"/>
        </w:rPr>
        <w:t>linolenic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 (ALA, 18:3n3), </w:t>
      </w:r>
      <w:proofErr w:type="spellStart"/>
      <w:r w:rsidRPr="00A251CE">
        <w:rPr>
          <w:rFonts w:ascii="Times New Roman" w:hAnsi="Times New Roman"/>
          <w:sz w:val="24"/>
          <w:szCs w:val="24"/>
        </w:rPr>
        <w:t>arachidonic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 (ARA, 20:4n6), </w:t>
      </w:r>
      <w:proofErr w:type="spellStart"/>
      <w:r w:rsidRPr="00A251CE">
        <w:rPr>
          <w:rFonts w:ascii="Times New Roman" w:hAnsi="Times New Roman"/>
          <w:sz w:val="24"/>
          <w:szCs w:val="24"/>
        </w:rPr>
        <w:t>dihomo</w:t>
      </w:r>
      <w:proofErr w:type="spellEnd"/>
      <w:r w:rsidRPr="00A251C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γ</w:t>
      </w:r>
      <w:r w:rsidRPr="00A251CE">
        <w:rPr>
          <w:rFonts w:ascii="Times New Roman" w:hAnsi="Times New Roman"/>
          <w:sz w:val="24"/>
          <w:szCs w:val="24"/>
        </w:rPr>
        <w:t>-</w:t>
      </w:r>
      <w:proofErr w:type="spellStart"/>
      <w:r w:rsidRPr="00A251CE">
        <w:rPr>
          <w:rFonts w:ascii="Times New Roman" w:hAnsi="Times New Roman"/>
          <w:sz w:val="24"/>
          <w:szCs w:val="24"/>
        </w:rPr>
        <w:t>linolenic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 (DGLA, 20:3n6), </w:t>
      </w:r>
      <w:proofErr w:type="spellStart"/>
      <w:r w:rsidRPr="00A251CE">
        <w:rPr>
          <w:rFonts w:ascii="Times New Roman" w:hAnsi="Times New Roman"/>
          <w:sz w:val="24"/>
          <w:szCs w:val="24"/>
        </w:rPr>
        <w:t>eicosatrienoic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 (ETA, 20:3n9), </w:t>
      </w:r>
      <w:proofErr w:type="spellStart"/>
      <w:r w:rsidRPr="00A251CE">
        <w:rPr>
          <w:rFonts w:ascii="Times New Roman" w:hAnsi="Times New Roman"/>
          <w:sz w:val="24"/>
          <w:szCs w:val="24"/>
        </w:rPr>
        <w:t>eicosapentaenoic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 (EPA, 20:5n3), and </w:t>
      </w:r>
      <w:proofErr w:type="spellStart"/>
      <w:r w:rsidRPr="00A251CE">
        <w:rPr>
          <w:rFonts w:ascii="Times New Roman" w:hAnsi="Times New Roman"/>
          <w:sz w:val="24"/>
          <w:szCs w:val="24"/>
        </w:rPr>
        <w:t>docosahexaenoic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 (DHA, 22:6n3) are precursors to a number of oxylipin products produced via the </w:t>
      </w:r>
      <w:proofErr w:type="spellStart"/>
      <w:r w:rsidRPr="00A251CE">
        <w:rPr>
          <w:rFonts w:ascii="Times New Roman" w:hAnsi="Times New Roman"/>
          <w:sz w:val="24"/>
          <w:szCs w:val="24"/>
        </w:rPr>
        <w:t>cyclooxygenase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(COX), </w:t>
      </w:r>
      <w:proofErr w:type="spellStart"/>
      <w:r w:rsidRPr="00A251CE">
        <w:rPr>
          <w:rFonts w:ascii="Times New Roman" w:hAnsi="Times New Roman"/>
          <w:sz w:val="24"/>
          <w:szCs w:val="24"/>
        </w:rPr>
        <w:t>lipoxygenase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(LOX), and </w:t>
      </w:r>
      <w:proofErr w:type="spellStart"/>
      <w:r w:rsidRPr="00A251CE">
        <w:rPr>
          <w:rFonts w:ascii="Times New Roman" w:hAnsi="Times New Roman"/>
          <w:sz w:val="24"/>
          <w:szCs w:val="24"/>
        </w:rPr>
        <w:t>cytochrome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P 450 (CYP) enzymes. The oxylipin products of the COX pathway include prostaglandins (PGE</w:t>
      </w:r>
      <w:r w:rsidRPr="00A251CE">
        <w:rPr>
          <w:rFonts w:ascii="Times New Roman" w:hAnsi="Times New Roman"/>
          <w:sz w:val="24"/>
          <w:szCs w:val="24"/>
          <w:vertAlign w:val="subscript"/>
        </w:rPr>
        <w:t>1</w:t>
      </w:r>
      <w:r w:rsidRPr="00A251CE">
        <w:rPr>
          <w:rFonts w:ascii="Times New Roman" w:hAnsi="Times New Roman"/>
          <w:sz w:val="24"/>
          <w:szCs w:val="24"/>
        </w:rPr>
        <w:t>, PGD</w:t>
      </w:r>
      <w:r w:rsidRPr="00A251CE">
        <w:rPr>
          <w:rFonts w:ascii="Times New Roman" w:hAnsi="Times New Roman"/>
          <w:sz w:val="24"/>
          <w:szCs w:val="24"/>
          <w:vertAlign w:val="subscript"/>
        </w:rPr>
        <w:t>1</w:t>
      </w:r>
      <w:r w:rsidRPr="00A251CE">
        <w:rPr>
          <w:rFonts w:ascii="Times New Roman" w:hAnsi="Times New Roman"/>
          <w:sz w:val="24"/>
          <w:szCs w:val="24"/>
        </w:rPr>
        <w:t>, PGH</w:t>
      </w:r>
      <w:r w:rsidRPr="00A251CE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>, PGF</w:t>
      </w:r>
      <w:r w:rsidRPr="00A251CE">
        <w:rPr>
          <w:rFonts w:ascii="Times New Roman" w:hAnsi="Times New Roman"/>
          <w:sz w:val="24"/>
          <w:szCs w:val="24"/>
          <w:vertAlign w:val="subscript"/>
        </w:rPr>
        <w:t>2α</w:t>
      </w:r>
      <w:r w:rsidRPr="00A251CE">
        <w:rPr>
          <w:rFonts w:ascii="Times New Roman" w:hAnsi="Times New Roman"/>
          <w:sz w:val="24"/>
          <w:szCs w:val="24"/>
        </w:rPr>
        <w:t>. PGE</w:t>
      </w:r>
      <w:r w:rsidRPr="00A251CE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>, PGB</w:t>
      </w:r>
      <w:r w:rsidRPr="00F424D6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>, PGD</w:t>
      </w:r>
      <w:r w:rsidRPr="00F424D6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>, PGJ</w:t>
      </w:r>
      <w:r w:rsidRPr="00F424D6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>, 15-deoxy-PGJ</w:t>
      </w:r>
      <w:r w:rsidRPr="00F424D6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>, PGI</w:t>
      </w:r>
      <w:r w:rsidRPr="00F424D6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>, 6-keto-PGF</w:t>
      </w:r>
      <w:r w:rsidRPr="00F424D6">
        <w:rPr>
          <w:rFonts w:ascii="Times New Roman" w:hAnsi="Times New Roman"/>
          <w:sz w:val="24"/>
          <w:szCs w:val="24"/>
          <w:vertAlign w:val="subscript"/>
        </w:rPr>
        <w:t>1</w:t>
      </w:r>
      <w:r w:rsidR="00F424D6">
        <w:rPr>
          <w:rFonts w:ascii="Times New Roman" w:hAnsi="Times New Roman"/>
          <w:sz w:val="24"/>
          <w:szCs w:val="24"/>
          <w:vertAlign w:val="subscript"/>
        </w:rPr>
        <w:t>α</w:t>
      </w:r>
      <w:r w:rsidRPr="00A251CE">
        <w:rPr>
          <w:rFonts w:ascii="Times New Roman" w:hAnsi="Times New Roman"/>
          <w:sz w:val="24"/>
          <w:szCs w:val="24"/>
        </w:rPr>
        <w:t>, PGE</w:t>
      </w:r>
      <w:r w:rsidRPr="00F424D6">
        <w:rPr>
          <w:rFonts w:ascii="Times New Roman" w:hAnsi="Times New Roman"/>
          <w:sz w:val="24"/>
          <w:szCs w:val="24"/>
          <w:vertAlign w:val="subscript"/>
        </w:rPr>
        <w:t>3</w:t>
      </w:r>
      <w:r w:rsidRPr="00A251CE">
        <w:rPr>
          <w:rFonts w:ascii="Times New Roman" w:hAnsi="Times New Roman"/>
          <w:sz w:val="24"/>
          <w:szCs w:val="24"/>
        </w:rPr>
        <w:t>, PGH</w:t>
      </w:r>
      <w:r w:rsidRPr="00F424D6">
        <w:rPr>
          <w:rFonts w:ascii="Times New Roman" w:hAnsi="Times New Roman"/>
          <w:sz w:val="24"/>
          <w:szCs w:val="24"/>
          <w:vertAlign w:val="subscript"/>
        </w:rPr>
        <w:t>3</w:t>
      </w:r>
      <w:r w:rsidRPr="00A251CE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A251CE">
        <w:rPr>
          <w:rFonts w:ascii="Times New Roman" w:hAnsi="Times New Roman"/>
          <w:sz w:val="24"/>
          <w:szCs w:val="24"/>
        </w:rPr>
        <w:t>resolvin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E1) and </w:t>
      </w:r>
      <w:proofErr w:type="spellStart"/>
      <w:r w:rsidRPr="00A251CE">
        <w:rPr>
          <w:rFonts w:ascii="Times New Roman" w:hAnsi="Times New Roman"/>
          <w:sz w:val="24"/>
          <w:szCs w:val="24"/>
        </w:rPr>
        <w:t>thromboxanes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(TXA</w:t>
      </w:r>
      <w:r w:rsidRPr="00F424D6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>, TXB</w:t>
      </w:r>
      <w:r w:rsidRPr="00F424D6">
        <w:rPr>
          <w:rFonts w:ascii="Times New Roman" w:hAnsi="Times New Roman"/>
          <w:sz w:val="24"/>
          <w:szCs w:val="24"/>
          <w:vertAlign w:val="subscript"/>
        </w:rPr>
        <w:t>2</w:t>
      </w:r>
      <w:r w:rsidRPr="00A251CE">
        <w:rPr>
          <w:rFonts w:ascii="Times New Roman" w:hAnsi="Times New Roman"/>
          <w:sz w:val="24"/>
          <w:szCs w:val="24"/>
        </w:rPr>
        <w:t xml:space="preserve">). The oxylipin products of the LOX pathway include </w:t>
      </w:r>
      <w:proofErr w:type="spellStart"/>
      <w:r w:rsidRPr="00A251CE">
        <w:rPr>
          <w:rFonts w:ascii="Times New Roman" w:hAnsi="Times New Roman"/>
          <w:sz w:val="24"/>
          <w:szCs w:val="24"/>
        </w:rPr>
        <w:t>hydroperoxyeicosatetraenoic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HpETEs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 and </w:t>
      </w:r>
      <w:proofErr w:type="spellStart"/>
      <w:r w:rsidRPr="00A251CE">
        <w:rPr>
          <w:rFonts w:ascii="Times New Roman" w:hAnsi="Times New Roman"/>
          <w:sz w:val="24"/>
          <w:szCs w:val="24"/>
        </w:rPr>
        <w:t>dihydroxyeicosatetraenoic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 (</w:t>
      </w:r>
      <w:proofErr w:type="spellStart"/>
      <w:r w:rsidRPr="00A251CE">
        <w:rPr>
          <w:rFonts w:ascii="Times New Roman" w:hAnsi="Times New Roman"/>
          <w:sz w:val="24"/>
          <w:szCs w:val="24"/>
        </w:rPr>
        <w:t>DiHETE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(further converted to </w:t>
      </w:r>
      <w:proofErr w:type="spellStart"/>
      <w:r w:rsidRPr="00A251CE">
        <w:rPr>
          <w:rFonts w:ascii="Times New Roman" w:hAnsi="Times New Roman"/>
          <w:sz w:val="24"/>
          <w:szCs w:val="24"/>
        </w:rPr>
        <w:t>hydroxyeicosatetraenoic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(HETEs)), </w:t>
      </w:r>
      <w:proofErr w:type="spellStart"/>
      <w:r w:rsidRPr="00A251CE">
        <w:rPr>
          <w:rFonts w:ascii="Times New Roman" w:hAnsi="Times New Roman"/>
          <w:sz w:val="24"/>
          <w:szCs w:val="24"/>
        </w:rPr>
        <w:t>hydroxyoctadecadienoic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HOTrEs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A251CE">
        <w:rPr>
          <w:rFonts w:ascii="Times New Roman" w:hAnsi="Times New Roman"/>
          <w:sz w:val="24"/>
          <w:szCs w:val="24"/>
        </w:rPr>
        <w:t>hydroxyeicosaptenaenoic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(HEPEs), </w:t>
      </w:r>
      <w:proofErr w:type="spellStart"/>
      <w:r w:rsidRPr="00A251CE">
        <w:rPr>
          <w:rFonts w:ascii="Times New Roman" w:hAnsi="Times New Roman"/>
          <w:sz w:val="24"/>
          <w:szCs w:val="24"/>
        </w:rPr>
        <w:t>hydrox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251CE">
        <w:rPr>
          <w:rFonts w:ascii="Times New Roman" w:hAnsi="Times New Roman"/>
          <w:sz w:val="24"/>
          <w:szCs w:val="24"/>
        </w:rPr>
        <w:t>ydocosahexaenoic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 (17-HDoHE), and </w:t>
      </w:r>
      <w:proofErr w:type="spellStart"/>
      <w:r w:rsidRPr="00A251CE">
        <w:rPr>
          <w:rFonts w:ascii="Times New Roman" w:hAnsi="Times New Roman"/>
          <w:sz w:val="24"/>
          <w:szCs w:val="24"/>
        </w:rPr>
        <w:t>leukotrienes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(LTA</w:t>
      </w:r>
      <w:r w:rsidRPr="00F424D6">
        <w:rPr>
          <w:rFonts w:ascii="Times New Roman" w:hAnsi="Times New Roman"/>
          <w:sz w:val="24"/>
          <w:szCs w:val="24"/>
          <w:vertAlign w:val="subscript"/>
        </w:rPr>
        <w:t>4</w:t>
      </w:r>
      <w:r w:rsidRPr="00A251CE">
        <w:rPr>
          <w:rFonts w:ascii="Times New Roman" w:hAnsi="Times New Roman"/>
          <w:sz w:val="24"/>
          <w:szCs w:val="24"/>
        </w:rPr>
        <w:t>, LTB</w:t>
      </w:r>
      <w:r w:rsidRPr="00F424D6">
        <w:rPr>
          <w:rFonts w:ascii="Times New Roman" w:hAnsi="Times New Roman"/>
          <w:sz w:val="24"/>
          <w:szCs w:val="24"/>
          <w:vertAlign w:val="subscript"/>
        </w:rPr>
        <w:t>4</w:t>
      </w:r>
      <w:r w:rsidRPr="00A251C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51CE">
        <w:rPr>
          <w:rFonts w:ascii="Times New Roman" w:hAnsi="Times New Roman"/>
          <w:sz w:val="24"/>
          <w:szCs w:val="24"/>
        </w:rPr>
        <w:t>20-OH-LTB</w:t>
      </w:r>
      <w:r w:rsidRPr="00F424D6">
        <w:rPr>
          <w:rFonts w:ascii="Times New Roman" w:hAnsi="Times New Roman"/>
          <w:sz w:val="24"/>
          <w:szCs w:val="24"/>
          <w:vertAlign w:val="subscript"/>
        </w:rPr>
        <w:t>4</w:t>
      </w:r>
      <w:r w:rsidRPr="00A251CE">
        <w:rPr>
          <w:rFonts w:ascii="Times New Roman" w:hAnsi="Times New Roman"/>
          <w:sz w:val="24"/>
          <w:szCs w:val="24"/>
        </w:rPr>
        <w:t>, 20-COOH-LTB</w:t>
      </w:r>
      <w:r w:rsidRPr="00F424D6">
        <w:rPr>
          <w:rFonts w:ascii="Times New Roman" w:hAnsi="Times New Roman"/>
          <w:sz w:val="24"/>
          <w:szCs w:val="24"/>
          <w:vertAlign w:val="subscript"/>
        </w:rPr>
        <w:t>4</w:t>
      </w:r>
      <w:r w:rsidRPr="00A251CE">
        <w:rPr>
          <w:rFonts w:ascii="Times New Roman" w:hAnsi="Times New Roman"/>
          <w:sz w:val="24"/>
          <w:szCs w:val="24"/>
        </w:rPr>
        <w:t>, 6-trans-LTB</w:t>
      </w:r>
      <w:r w:rsidRPr="00F424D6">
        <w:rPr>
          <w:rFonts w:ascii="Times New Roman" w:hAnsi="Times New Roman"/>
          <w:sz w:val="24"/>
          <w:szCs w:val="24"/>
          <w:vertAlign w:val="subscript"/>
        </w:rPr>
        <w:t>4</w:t>
      </w:r>
      <w:r w:rsidRPr="00A251CE">
        <w:rPr>
          <w:rFonts w:ascii="Times New Roman" w:hAnsi="Times New Roman"/>
          <w:sz w:val="24"/>
          <w:szCs w:val="24"/>
        </w:rPr>
        <w:t>, LTC</w:t>
      </w:r>
      <w:r w:rsidRPr="00F424D6">
        <w:rPr>
          <w:rFonts w:ascii="Times New Roman" w:hAnsi="Times New Roman"/>
          <w:sz w:val="24"/>
          <w:szCs w:val="24"/>
          <w:vertAlign w:val="subscript"/>
        </w:rPr>
        <w:t>4</w:t>
      </w:r>
      <w:r w:rsidRPr="00A251CE">
        <w:rPr>
          <w:rFonts w:ascii="Times New Roman" w:hAnsi="Times New Roman"/>
          <w:sz w:val="24"/>
          <w:szCs w:val="24"/>
        </w:rPr>
        <w:t>, LTD</w:t>
      </w:r>
      <w:r w:rsidRPr="00F424D6">
        <w:rPr>
          <w:rFonts w:ascii="Times New Roman" w:hAnsi="Times New Roman"/>
          <w:sz w:val="24"/>
          <w:szCs w:val="24"/>
          <w:vertAlign w:val="subscript"/>
        </w:rPr>
        <w:t>4</w:t>
      </w:r>
      <w:r w:rsidRPr="00A251CE">
        <w:rPr>
          <w:rFonts w:ascii="Times New Roman" w:hAnsi="Times New Roman"/>
          <w:sz w:val="24"/>
          <w:szCs w:val="24"/>
        </w:rPr>
        <w:t>, LTE</w:t>
      </w:r>
      <w:r w:rsidRPr="00F424D6">
        <w:rPr>
          <w:rFonts w:ascii="Times New Roman" w:hAnsi="Times New Roman"/>
          <w:sz w:val="24"/>
          <w:szCs w:val="24"/>
          <w:vertAlign w:val="subscript"/>
        </w:rPr>
        <w:t>4</w:t>
      </w:r>
      <w:r w:rsidRPr="00A251CE">
        <w:rPr>
          <w:rFonts w:ascii="Times New Roman" w:hAnsi="Times New Roman"/>
          <w:sz w:val="24"/>
          <w:szCs w:val="24"/>
        </w:rPr>
        <w:t>, LTB</w:t>
      </w:r>
      <w:r w:rsidRPr="00F424D6">
        <w:rPr>
          <w:rFonts w:ascii="Times New Roman" w:hAnsi="Times New Roman"/>
          <w:sz w:val="24"/>
          <w:szCs w:val="24"/>
          <w:vertAlign w:val="subscript"/>
        </w:rPr>
        <w:t>3</w:t>
      </w:r>
      <w:r w:rsidRPr="00A251CE">
        <w:rPr>
          <w:rFonts w:ascii="Times New Roman" w:hAnsi="Times New Roman"/>
          <w:sz w:val="24"/>
          <w:szCs w:val="24"/>
        </w:rPr>
        <w:t>, LTB</w:t>
      </w:r>
      <w:r w:rsidRPr="00F424D6">
        <w:rPr>
          <w:rFonts w:ascii="Times New Roman" w:hAnsi="Times New Roman"/>
          <w:sz w:val="24"/>
          <w:szCs w:val="24"/>
          <w:vertAlign w:val="subscript"/>
        </w:rPr>
        <w:t>5</w:t>
      </w:r>
      <w:r w:rsidRPr="00A251CE">
        <w:rPr>
          <w:rFonts w:ascii="Times New Roman" w:hAnsi="Times New Roman"/>
          <w:sz w:val="24"/>
          <w:szCs w:val="24"/>
        </w:rPr>
        <w:t xml:space="preserve">) as well as the </w:t>
      </w:r>
      <w:proofErr w:type="spellStart"/>
      <w:r w:rsidRPr="00A251CE">
        <w:rPr>
          <w:rFonts w:ascii="Times New Roman" w:hAnsi="Times New Roman"/>
          <w:sz w:val="24"/>
          <w:szCs w:val="24"/>
        </w:rPr>
        <w:t>hydroxyoctadienoic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(HODEs), and </w:t>
      </w:r>
      <w:proofErr w:type="spellStart"/>
      <w:r w:rsidRPr="00A251CE">
        <w:rPr>
          <w:rFonts w:ascii="Times New Roman" w:hAnsi="Times New Roman"/>
          <w:sz w:val="24"/>
          <w:szCs w:val="24"/>
        </w:rPr>
        <w:t>trihydroxyoctamonoenoic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TriHOMEs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). The products of the CYP </w:t>
      </w:r>
      <w:proofErr w:type="spellStart"/>
      <w:r w:rsidRPr="00A251CE">
        <w:rPr>
          <w:rFonts w:ascii="Times New Roman" w:hAnsi="Times New Roman"/>
          <w:sz w:val="24"/>
          <w:szCs w:val="24"/>
        </w:rPr>
        <w:t>hydroxy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(OH) pathway include 20-HETE, and the products of the CYP epoxy pathway include the </w:t>
      </w:r>
      <w:proofErr w:type="spellStart"/>
      <w:r w:rsidRPr="00A251CE">
        <w:rPr>
          <w:rFonts w:ascii="Times New Roman" w:hAnsi="Times New Roman"/>
          <w:sz w:val="24"/>
          <w:szCs w:val="24"/>
        </w:rPr>
        <w:t>epoxyeicosatrienoic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(EETs), </w:t>
      </w:r>
      <w:proofErr w:type="spellStart"/>
      <w:r w:rsidRPr="00A251CE">
        <w:rPr>
          <w:rFonts w:ascii="Times New Roman" w:hAnsi="Times New Roman"/>
          <w:sz w:val="24"/>
          <w:szCs w:val="24"/>
        </w:rPr>
        <w:t>epoxyoctadecadienoic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EpODEs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A251CE">
        <w:rPr>
          <w:rFonts w:ascii="Times New Roman" w:hAnsi="Times New Roman"/>
          <w:sz w:val="24"/>
          <w:szCs w:val="24"/>
        </w:rPr>
        <w:t>epoxyoctamonoe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251CE">
        <w:rPr>
          <w:rFonts w:ascii="Times New Roman" w:hAnsi="Times New Roman"/>
          <w:sz w:val="24"/>
          <w:szCs w:val="24"/>
        </w:rPr>
        <w:t>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EpOMEs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A251CE">
        <w:rPr>
          <w:rFonts w:ascii="Times New Roman" w:hAnsi="Times New Roman"/>
          <w:sz w:val="24"/>
          <w:szCs w:val="24"/>
        </w:rPr>
        <w:t>epoxyeicosatetreaenoic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EpETEs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and </w:t>
      </w:r>
      <w:proofErr w:type="spellStart"/>
      <w:r w:rsidRPr="00A251CE">
        <w:rPr>
          <w:rFonts w:ascii="Times New Roman" w:hAnsi="Times New Roman"/>
          <w:sz w:val="24"/>
          <w:szCs w:val="24"/>
        </w:rPr>
        <w:t>epoxydocosapentaenoic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EpDPEs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as well as the downstream soluble </w:t>
      </w:r>
      <w:proofErr w:type="spellStart"/>
      <w:r w:rsidRPr="00A251CE">
        <w:rPr>
          <w:rFonts w:ascii="Times New Roman" w:hAnsi="Times New Roman"/>
          <w:sz w:val="24"/>
          <w:szCs w:val="24"/>
        </w:rPr>
        <w:t>epoxide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51CE">
        <w:rPr>
          <w:rFonts w:ascii="Times New Roman" w:hAnsi="Times New Roman"/>
          <w:sz w:val="24"/>
          <w:szCs w:val="24"/>
        </w:rPr>
        <w:t>hydrolase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251CE">
        <w:rPr>
          <w:rFonts w:ascii="Times New Roman" w:hAnsi="Times New Roman"/>
          <w:sz w:val="24"/>
          <w:szCs w:val="24"/>
        </w:rPr>
        <w:t>sEH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 metabolites </w:t>
      </w:r>
      <w:proofErr w:type="spellStart"/>
      <w:r w:rsidRPr="00A251CE">
        <w:rPr>
          <w:rFonts w:ascii="Times New Roman" w:hAnsi="Times New Roman"/>
          <w:sz w:val="24"/>
          <w:szCs w:val="24"/>
        </w:rPr>
        <w:t>dihydroxyoctamonoe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251CE">
        <w:rPr>
          <w:rFonts w:ascii="Times New Roman" w:hAnsi="Times New Roman"/>
          <w:sz w:val="24"/>
          <w:szCs w:val="24"/>
        </w:rPr>
        <w:t>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DiHOMEs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A251CE">
        <w:rPr>
          <w:rFonts w:ascii="Times New Roman" w:hAnsi="Times New Roman"/>
          <w:sz w:val="24"/>
          <w:szCs w:val="24"/>
        </w:rPr>
        <w:t>dihydroxyeicosatrienoic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DiHETrEs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A251CE">
        <w:rPr>
          <w:rFonts w:ascii="Times New Roman" w:hAnsi="Times New Roman"/>
          <w:sz w:val="24"/>
          <w:szCs w:val="24"/>
        </w:rPr>
        <w:t>dihydroxyoctadecadienoic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DiHODEs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A251CE">
        <w:rPr>
          <w:rFonts w:ascii="Times New Roman" w:hAnsi="Times New Roman"/>
          <w:sz w:val="24"/>
          <w:szCs w:val="24"/>
        </w:rPr>
        <w:lastRenderedPageBreak/>
        <w:t>dihydroxyeicosatetrae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251CE">
        <w:rPr>
          <w:rFonts w:ascii="Times New Roman" w:hAnsi="Times New Roman"/>
          <w:sz w:val="24"/>
          <w:szCs w:val="24"/>
        </w:rPr>
        <w:t>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DiHETEs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), and </w:t>
      </w:r>
      <w:proofErr w:type="spellStart"/>
      <w:r w:rsidRPr="00A251CE">
        <w:rPr>
          <w:rFonts w:ascii="Times New Roman" w:hAnsi="Times New Roman"/>
          <w:sz w:val="24"/>
          <w:szCs w:val="24"/>
        </w:rPr>
        <w:t>dihydroxydocosapentaenoic</w:t>
      </w:r>
      <w:proofErr w:type="spellEnd"/>
      <w:r w:rsidRPr="00A251CE">
        <w:rPr>
          <w:rFonts w:ascii="Times New Roman" w:hAnsi="Times New Roman"/>
          <w:sz w:val="24"/>
          <w:szCs w:val="24"/>
        </w:rPr>
        <w:t xml:space="preserve"> acids (</w:t>
      </w:r>
      <w:proofErr w:type="spellStart"/>
      <w:r w:rsidRPr="00A251CE">
        <w:rPr>
          <w:rFonts w:ascii="Times New Roman" w:hAnsi="Times New Roman"/>
          <w:sz w:val="24"/>
          <w:szCs w:val="24"/>
        </w:rPr>
        <w:t>DiHDPEs</w:t>
      </w:r>
      <w:proofErr w:type="spellEnd"/>
      <w:r w:rsidRPr="00A251CE">
        <w:rPr>
          <w:rFonts w:ascii="Times New Roman" w:hAnsi="Times New Roman"/>
          <w:sz w:val="24"/>
          <w:szCs w:val="24"/>
        </w:rPr>
        <w:t>). Each fatty acid precursor and its oxylipin products are colored the same: LA, orange; DGLA, yellow; ETA, dark blue; ALA, purple; EPA, green; DHA, red; and ARA, light blue</w:t>
      </w:r>
      <w:r>
        <w:rPr>
          <w:rFonts w:ascii="Times New Roman" w:hAnsi="Times New Roman"/>
          <w:sz w:val="24"/>
          <w:szCs w:val="24"/>
        </w:rPr>
        <w:t>.</w:t>
      </w:r>
      <w:r w:rsidRPr="00A251CE">
        <w:rPr>
          <w:rFonts w:ascii="Times New Roman" w:hAnsi="Times New Roman"/>
          <w:sz w:val="24"/>
          <w:szCs w:val="24"/>
        </w:rPr>
        <w:t xml:space="preserve"> </w:t>
      </w:r>
    </w:p>
    <w:p w:rsidR="00A251CE" w:rsidRPr="002D61E6" w:rsidRDefault="00F424D6">
      <w:pPr>
        <w:rPr>
          <w:rFonts w:ascii="Times New Roman" w:hAnsi="Times New Roman"/>
          <w:sz w:val="24"/>
          <w:szCs w:val="24"/>
        </w:rPr>
        <w:sectPr w:rsidR="00A251CE" w:rsidRPr="002D61E6" w:rsidSect="0015515D">
          <w:pgSz w:w="11907" w:h="16839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>Reprinted w</w:t>
      </w:r>
      <w:r w:rsidR="00A251CE" w:rsidRPr="00A251CE">
        <w:rPr>
          <w:rFonts w:ascii="Times New Roman" w:hAnsi="Times New Roman"/>
          <w:sz w:val="24"/>
          <w:szCs w:val="24"/>
        </w:rPr>
        <w:t xml:space="preserve">ith kind permission from Springer </w:t>
      </w:r>
      <w:proofErr w:type="spellStart"/>
      <w:r w:rsidR="00A251CE" w:rsidRPr="00A251CE">
        <w:rPr>
          <w:rFonts w:ascii="Times New Roman" w:hAnsi="Times New Roman"/>
          <w:sz w:val="24"/>
          <w:szCs w:val="24"/>
        </w:rPr>
        <w:t>Science+Business</w:t>
      </w:r>
      <w:proofErr w:type="spellEnd"/>
      <w:r w:rsidR="00A251CE" w:rsidRPr="00A251CE">
        <w:rPr>
          <w:rFonts w:ascii="Times New Roman" w:hAnsi="Times New Roman"/>
          <w:sz w:val="24"/>
          <w:szCs w:val="24"/>
        </w:rPr>
        <w:t xml:space="preserve"> Media: </w:t>
      </w:r>
      <w:r w:rsidRPr="00F424D6">
        <w:rPr>
          <w:rFonts w:ascii="Times New Roman" w:hAnsi="Times New Roman"/>
          <w:i/>
          <w:sz w:val="24"/>
          <w:szCs w:val="24"/>
        </w:rPr>
        <w:t>Metabolomics</w:t>
      </w:r>
      <w:r w:rsidR="00A251CE" w:rsidRPr="00A251C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Serum oxylipin profiles in </w:t>
      </w:r>
      <w:proofErr w:type="spellStart"/>
      <w:r>
        <w:rPr>
          <w:rFonts w:ascii="Times New Roman" w:hAnsi="Times New Roman"/>
          <w:sz w:val="24"/>
          <w:szCs w:val="24"/>
        </w:rPr>
        <w:t>IgA</w:t>
      </w:r>
      <w:proofErr w:type="spellEnd"/>
      <w:r>
        <w:rPr>
          <w:rFonts w:ascii="Times New Roman" w:hAnsi="Times New Roman"/>
          <w:sz w:val="24"/>
          <w:szCs w:val="24"/>
        </w:rPr>
        <w:t xml:space="preserve"> nephropathy patients reflect kidney functional alterations</w:t>
      </w:r>
      <w:r w:rsidR="00A251CE" w:rsidRPr="00A251CE">
        <w:rPr>
          <w:rFonts w:ascii="Times New Roman" w:hAnsi="Times New Roman"/>
          <w:sz w:val="24"/>
          <w:szCs w:val="24"/>
        </w:rPr>
        <w:t>, volume</w:t>
      </w:r>
      <w:r>
        <w:rPr>
          <w:rFonts w:ascii="Times New Roman" w:hAnsi="Times New Roman"/>
          <w:sz w:val="24"/>
          <w:szCs w:val="24"/>
        </w:rPr>
        <w:t xml:space="preserve"> 8</w:t>
      </w:r>
      <w:r w:rsidR="00A251CE" w:rsidRPr="00A251C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2012</w:t>
      </w:r>
      <w:r w:rsidR="00A251CE" w:rsidRPr="00A251C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1102-1113</w:t>
      </w:r>
      <w:r w:rsidR="00A251CE" w:rsidRPr="00A251C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Angela M. </w:t>
      </w:r>
      <w:proofErr w:type="spellStart"/>
      <w:r>
        <w:rPr>
          <w:rFonts w:ascii="Times New Roman" w:hAnsi="Times New Roman"/>
          <w:sz w:val="24"/>
          <w:szCs w:val="24"/>
        </w:rPr>
        <w:t>Zivkovic</w:t>
      </w:r>
      <w:proofErr w:type="spellEnd"/>
      <w:r>
        <w:rPr>
          <w:rFonts w:ascii="Times New Roman" w:hAnsi="Times New Roman"/>
          <w:sz w:val="24"/>
          <w:szCs w:val="24"/>
        </w:rPr>
        <w:t xml:space="preserve">, Jun Yang, </w:t>
      </w:r>
      <w:proofErr w:type="spellStart"/>
      <w:r>
        <w:rPr>
          <w:rFonts w:ascii="Times New Roman" w:hAnsi="Times New Roman"/>
          <w:sz w:val="24"/>
          <w:szCs w:val="24"/>
        </w:rPr>
        <w:t>Katrin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Georgi</w:t>
      </w:r>
      <w:proofErr w:type="spellEnd"/>
      <w:r>
        <w:rPr>
          <w:rFonts w:ascii="Times New Roman" w:hAnsi="Times New Roman"/>
          <w:sz w:val="24"/>
          <w:szCs w:val="24"/>
        </w:rPr>
        <w:t xml:space="preserve">, Christine </w:t>
      </w:r>
      <w:proofErr w:type="spellStart"/>
      <w:r>
        <w:rPr>
          <w:rFonts w:ascii="Times New Roman" w:hAnsi="Times New Roman"/>
          <w:sz w:val="24"/>
          <w:szCs w:val="24"/>
        </w:rPr>
        <w:t>Hegedus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Malin</w:t>
      </w:r>
      <w:proofErr w:type="spellEnd"/>
      <w:r>
        <w:rPr>
          <w:rFonts w:ascii="Times New Roman" w:hAnsi="Times New Roman"/>
          <w:sz w:val="24"/>
          <w:szCs w:val="24"/>
        </w:rPr>
        <w:t xml:space="preserve"> L. </w:t>
      </w:r>
      <w:proofErr w:type="spellStart"/>
      <w:r>
        <w:rPr>
          <w:rFonts w:ascii="Times New Roman" w:hAnsi="Times New Roman"/>
          <w:sz w:val="24"/>
          <w:szCs w:val="24"/>
        </w:rPr>
        <w:t>Nording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Aifric</w:t>
      </w:r>
      <w:proofErr w:type="spellEnd"/>
      <w:r>
        <w:rPr>
          <w:rFonts w:ascii="Times New Roman" w:hAnsi="Times New Roman"/>
          <w:sz w:val="24"/>
          <w:szCs w:val="24"/>
        </w:rPr>
        <w:t xml:space="preserve"> O’Sullivan, J. Bruce German, Ronald J. Hogg, Robert H. Weiss, Curt Bay, Bruce D. Hammock</w:t>
      </w:r>
      <w:r w:rsidR="00A251CE" w:rsidRPr="00A251CE">
        <w:rPr>
          <w:rFonts w:ascii="Times New Roman" w:hAnsi="Times New Roman"/>
          <w:sz w:val="24"/>
          <w:szCs w:val="24"/>
        </w:rPr>
        <w:t xml:space="preserve">, figure </w:t>
      </w:r>
      <w:r>
        <w:rPr>
          <w:rFonts w:ascii="Times New Roman" w:hAnsi="Times New Roman"/>
          <w:sz w:val="24"/>
          <w:szCs w:val="24"/>
        </w:rPr>
        <w:t>1.</w:t>
      </w:r>
    </w:p>
    <w:p w:rsidR="00775939" w:rsidRPr="00C271EC" w:rsidRDefault="00775939" w:rsidP="002D61E6">
      <w:pPr>
        <w:rPr>
          <w:rFonts w:ascii="Times New Roman" w:hAnsi="Times New Roman"/>
          <w:sz w:val="24"/>
          <w:szCs w:val="24"/>
        </w:rPr>
      </w:pPr>
    </w:p>
    <w:sectPr w:rsidR="00775939" w:rsidRPr="00C271EC" w:rsidSect="001633C9">
      <w:pgSz w:w="16839" w:h="1190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A7EDA"/>
    <w:multiLevelType w:val="hybridMultilevel"/>
    <w:tmpl w:val="5368309C"/>
    <w:lvl w:ilvl="0" w:tplc="DC8C972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3A4BB7"/>
    <w:multiLevelType w:val="hybridMultilevel"/>
    <w:tmpl w:val="C25CCDFC"/>
    <w:lvl w:ilvl="0" w:tplc="7734A3A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B178A0"/>
    <w:rsid w:val="00011ED3"/>
    <w:rsid w:val="0002198C"/>
    <w:rsid w:val="00030FEE"/>
    <w:rsid w:val="00033F19"/>
    <w:rsid w:val="00047BC1"/>
    <w:rsid w:val="00084CDC"/>
    <w:rsid w:val="000F21C0"/>
    <w:rsid w:val="000F58E9"/>
    <w:rsid w:val="001045E1"/>
    <w:rsid w:val="00117FA2"/>
    <w:rsid w:val="00126DDF"/>
    <w:rsid w:val="00126F9A"/>
    <w:rsid w:val="0015515D"/>
    <w:rsid w:val="001633C9"/>
    <w:rsid w:val="00165A7D"/>
    <w:rsid w:val="00191215"/>
    <w:rsid w:val="001D0C34"/>
    <w:rsid w:val="001D615F"/>
    <w:rsid w:val="001F3C21"/>
    <w:rsid w:val="00227439"/>
    <w:rsid w:val="00250E74"/>
    <w:rsid w:val="00267F8F"/>
    <w:rsid w:val="002D61E6"/>
    <w:rsid w:val="00341D48"/>
    <w:rsid w:val="00383455"/>
    <w:rsid w:val="003A0C9D"/>
    <w:rsid w:val="0040032B"/>
    <w:rsid w:val="0043784D"/>
    <w:rsid w:val="00450ADB"/>
    <w:rsid w:val="004A0A63"/>
    <w:rsid w:val="004A7CE1"/>
    <w:rsid w:val="004D06F4"/>
    <w:rsid w:val="004F4B2E"/>
    <w:rsid w:val="00551CB9"/>
    <w:rsid w:val="00564321"/>
    <w:rsid w:val="005712AF"/>
    <w:rsid w:val="005B2A03"/>
    <w:rsid w:val="005B5203"/>
    <w:rsid w:val="005B641C"/>
    <w:rsid w:val="005D187B"/>
    <w:rsid w:val="00660020"/>
    <w:rsid w:val="00687FF5"/>
    <w:rsid w:val="006E5DC1"/>
    <w:rsid w:val="0074336C"/>
    <w:rsid w:val="00775939"/>
    <w:rsid w:val="007C26EB"/>
    <w:rsid w:val="0081001A"/>
    <w:rsid w:val="0084518F"/>
    <w:rsid w:val="0088003C"/>
    <w:rsid w:val="008B078C"/>
    <w:rsid w:val="008B5C18"/>
    <w:rsid w:val="008D2F53"/>
    <w:rsid w:val="00970B40"/>
    <w:rsid w:val="00971367"/>
    <w:rsid w:val="009C6D55"/>
    <w:rsid w:val="009F1BEA"/>
    <w:rsid w:val="00A067F9"/>
    <w:rsid w:val="00A1465C"/>
    <w:rsid w:val="00A22FF4"/>
    <w:rsid w:val="00A251CE"/>
    <w:rsid w:val="00A957D8"/>
    <w:rsid w:val="00AB3F37"/>
    <w:rsid w:val="00B07F27"/>
    <w:rsid w:val="00B11CB4"/>
    <w:rsid w:val="00B178A0"/>
    <w:rsid w:val="00B35567"/>
    <w:rsid w:val="00B63571"/>
    <w:rsid w:val="00B64EA3"/>
    <w:rsid w:val="00B9202B"/>
    <w:rsid w:val="00BA27AF"/>
    <w:rsid w:val="00BE2F2A"/>
    <w:rsid w:val="00BF1A7B"/>
    <w:rsid w:val="00C271EC"/>
    <w:rsid w:val="00C42E38"/>
    <w:rsid w:val="00C54A9D"/>
    <w:rsid w:val="00C950D4"/>
    <w:rsid w:val="00CD4010"/>
    <w:rsid w:val="00CE2512"/>
    <w:rsid w:val="00D34B3E"/>
    <w:rsid w:val="00D41571"/>
    <w:rsid w:val="00D60E62"/>
    <w:rsid w:val="00D75A96"/>
    <w:rsid w:val="00D9252F"/>
    <w:rsid w:val="00DB3655"/>
    <w:rsid w:val="00DB7746"/>
    <w:rsid w:val="00DD4E5B"/>
    <w:rsid w:val="00DE3E52"/>
    <w:rsid w:val="00DE72A8"/>
    <w:rsid w:val="00DF659F"/>
    <w:rsid w:val="00E06D29"/>
    <w:rsid w:val="00E52EFB"/>
    <w:rsid w:val="00E53D81"/>
    <w:rsid w:val="00E6388C"/>
    <w:rsid w:val="00E63D3D"/>
    <w:rsid w:val="00F028DF"/>
    <w:rsid w:val="00F0757F"/>
    <w:rsid w:val="00F42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17FA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B178A0"/>
    <w:rPr>
      <w:b/>
      <w:bCs/>
    </w:rPr>
  </w:style>
  <w:style w:type="table" w:styleId="TableGrid">
    <w:name w:val="Table Grid"/>
    <w:basedOn w:val="TableNormal"/>
    <w:uiPriority w:val="59"/>
    <w:rsid w:val="009C6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9713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13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7136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36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1367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3C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633C9"/>
    <w:rPr>
      <w:b/>
      <w:bCs/>
      <w:sz w:val="20"/>
      <w:szCs w:val="20"/>
    </w:rPr>
  </w:style>
  <w:style w:type="paragraph" w:styleId="ListParagraph">
    <w:name w:val="List Paragraph"/>
    <w:basedOn w:val="Normal"/>
    <w:uiPriority w:val="72"/>
    <w:qFormat/>
    <w:rsid w:val="00A22F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17FA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B178A0"/>
    <w:rPr>
      <w:b/>
      <w:bCs/>
    </w:rPr>
  </w:style>
  <w:style w:type="table" w:styleId="TableGrid">
    <w:name w:val="Table Grid"/>
    <w:basedOn w:val="TableNormal"/>
    <w:uiPriority w:val="59"/>
    <w:rsid w:val="009C6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9713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13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7136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36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1367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3C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633C9"/>
    <w:rPr>
      <w:b/>
      <w:bCs/>
      <w:sz w:val="20"/>
      <w:szCs w:val="20"/>
    </w:rPr>
  </w:style>
  <w:style w:type="paragraph" w:styleId="ListParagraph">
    <w:name w:val="List Paragraph"/>
    <w:basedOn w:val="Normal"/>
    <w:uiPriority w:val="72"/>
    <w:qFormat/>
    <w:rsid w:val="00A22F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localhost/Users/angelaziv/Documents/My%20Papers%20&amp;%20Abstracts/IgAN%20oxy%20ms%202011/IgAN%20oxy%20ms%20fig%201.p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mano0003</dc:creator>
  <cp:keywords/>
  <dc:description/>
  <cp:lastModifiedBy>mano0003</cp:lastModifiedBy>
  <cp:revision>3</cp:revision>
  <cp:lastPrinted>2013-06-27T08:26:00Z</cp:lastPrinted>
  <dcterms:created xsi:type="dcterms:W3CDTF">2013-09-17T13:15:00Z</dcterms:created>
  <dcterms:modified xsi:type="dcterms:W3CDTF">2013-09-17T13:16:00Z</dcterms:modified>
</cp:coreProperties>
</file>