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2C" w:rsidRPr="00AC383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r w:rsidRPr="00AC383C">
        <w:rPr>
          <w:rFonts w:ascii="Arial" w:hAnsi="Arial" w:cs="Arial"/>
          <w:b/>
          <w:bCs/>
          <w:color w:val="000000"/>
        </w:rPr>
        <w:t>Supplemental Methods</w:t>
      </w:r>
    </w:p>
    <w:p w:rsidR="00C7632C" w:rsidRPr="00AC383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p>
    <w:p w:rsidR="00C7632C" w:rsidRPr="00490DB7"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51F1F"/>
        </w:rPr>
      </w:pPr>
      <w:r>
        <w:rPr>
          <w:rFonts w:ascii="Arial" w:hAnsi="Arial" w:cs="Arial"/>
          <w:b/>
          <w:bCs/>
          <w:color w:val="000000"/>
        </w:rPr>
        <w:t>Cell line and p</w:t>
      </w:r>
      <w:r w:rsidRPr="00AC383C">
        <w:rPr>
          <w:rFonts w:ascii="Arial" w:hAnsi="Arial" w:cs="Arial"/>
          <w:b/>
          <w:bCs/>
          <w:color w:val="000000"/>
        </w:rPr>
        <w:t xml:space="preserve">rimary cell culture and transduction. </w:t>
      </w:r>
      <w:r>
        <w:rPr>
          <w:rFonts w:ascii="Arial" w:hAnsi="Arial" w:cs="Arial"/>
          <w:color w:val="251F1F"/>
        </w:rPr>
        <w:t>Our techniques are modified from our</w:t>
      </w:r>
      <w:r w:rsidRPr="00AC383C">
        <w:rPr>
          <w:rFonts w:ascii="Arial" w:hAnsi="Arial" w:cs="Arial"/>
          <w:color w:val="251F1F"/>
        </w:rPr>
        <w:t xml:space="preserve"> previous publication</w:t>
      </w:r>
      <w:r w:rsidR="00591E30">
        <w:rPr>
          <w:rFonts w:ascii="Arial" w:hAnsi="Arial" w:cs="Arial"/>
          <w:color w:val="251F1F"/>
        </w:rPr>
        <w:fldChar w:fldCharType="begin"/>
      </w:r>
      <w:r>
        <w:rPr>
          <w:rFonts w:ascii="Arial" w:hAnsi="Arial" w:cs="Arial"/>
          <w:color w:val="251F1F"/>
        </w:rPr>
        <w:instrText>ADDIN RW.CITE{{2 Oehler,V.G. 2009}}</w:instrText>
      </w:r>
      <w:r w:rsidR="00591E30">
        <w:rPr>
          <w:rFonts w:ascii="Arial" w:hAnsi="Arial" w:cs="Arial"/>
          <w:color w:val="251F1F"/>
        </w:rPr>
        <w:fldChar w:fldCharType="separate"/>
      </w:r>
      <w:r w:rsidRPr="00D1583B">
        <w:rPr>
          <w:rFonts w:ascii="Arial" w:hAnsi="Arial"/>
        </w:rPr>
        <w:t xml:space="preserve"> [1]</w:t>
      </w:r>
      <w:r w:rsidR="00591E30">
        <w:rPr>
          <w:rFonts w:ascii="Arial" w:hAnsi="Arial" w:cs="Arial"/>
          <w:color w:val="251F1F"/>
        </w:rPr>
        <w:fldChar w:fldCharType="end"/>
      </w:r>
      <w:r w:rsidRPr="00AC383C">
        <w:rPr>
          <w:rFonts w:ascii="Arial" w:hAnsi="Arial" w:cs="Arial"/>
          <w:color w:val="251F1F"/>
        </w:rPr>
        <w:t>.</w:t>
      </w:r>
      <w:r w:rsidRPr="00AC383C">
        <w:rPr>
          <w:rFonts w:ascii="Arial" w:hAnsi="Arial" w:cs="Arial"/>
          <w:color w:val="000000"/>
          <w:szCs w:val="15"/>
        </w:rPr>
        <w:t xml:space="preserve"> </w:t>
      </w:r>
      <w:r w:rsidRPr="0022530F">
        <w:rPr>
          <w:rFonts w:ascii="Arial" w:hAnsi="Arial"/>
        </w:rPr>
        <w:t xml:space="preserve">A multiplicity of infection (MOI) of 5 was used for cell lines and a MOI of 10 </w:t>
      </w:r>
      <w:r>
        <w:rPr>
          <w:rFonts w:ascii="Arial" w:hAnsi="Arial"/>
        </w:rPr>
        <w:t xml:space="preserve">was used </w:t>
      </w:r>
      <w:r w:rsidRPr="0022530F">
        <w:rPr>
          <w:rFonts w:ascii="Arial" w:hAnsi="Arial"/>
        </w:rPr>
        <w:t xml:space="preserve">for primary cell lentiviral transduction in the presence of protamine sulfate (5 </w:t>
      </w:r>
      <w:r w:rsidRPr="0022530F">
        <w:rPr>
          <w:rFonts w:ascii="Symbol" w:hAnsi="Symbol"/>
        </w:rPr>
        <w:t></w:t>
      </w:r>
      <w:r w:rsidRPr="0022530F">
        <w:rPr>
          <w:rFonts w:ascii="Arial" w:hAnsi="Arial"/>
        </w:rPr>
        <w:t xml:space="preserve">g/mL, Sigma-Aldrich, St. Louis, MO, USA).  Transduction efficiencies ranged from 50-85% </w:t>
      </w:r>
      <w:r>
        <w:rPr>
          <w:rFonts w:ascii="Arial" w:hAnsi="Arial"/>
        </w:rPr>
        <w:t xml:space="preserve">for cell lines </w:t>
      </w:r>
      <w:r w:rsidRPr="0022530F">
        <w:rPr>
          <w:rFonts w:ascii="Arial" w:hAnsi="Arial"/>
        </w:rPr>
        <w:t>and from 20-</w:t>
      </w:r>
      <w:r>
        <w:rPr>
          <w:rFonts w:ascii="Arial" w:hAnsi="Arial"/>
        </w:rPr>
        <w:t>40% for primary cells.</w:t>
      </w:r>
      <w:r w:rsidRPr="0022530F">
        <w:rPr>
          <w:rFonts w:ascii="Arial" w:hAnsi="Arial"/>
        </w:rPr>
        <w:t xml:space="preserve"> </w:t>
      </w:r>
    </w:p>
    <w:p w:rsidR="00C7632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15"/>
        </w:rPr>
      </w:pPr>
    </w:p>
    <w:p w:rsidR="00C7632C" w:rsidRPr="00606620"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251F1F"/>
        </w:rPr>
      </w:pPr>
      <w:r w:rsidRPr="00AC383C">
        <w:rPr>
          <w:rFonts w:ascii="Arial" w:hAnsi="Arial" w:cs="Arial"/>
          <w:color w:val="251F1F"/>
        </w:rPr>
        <w:t xml:space="preserve">Primary patient samples were thawed in media containing </w:t>
      </w:r>
      <w:proofErr w:type="spellStart"/>
      <w:r w:rsidRPr="00AC383C">
        <w:rPr>
          <w:rFonts w:ascii="Arial" w:hAnsi="Arial" w:cs="Arial"/>
          <w:color w:val="251F1F"/>
        </w:rPr>
        <w:t>Iscove</w:t>
      </w:r>
      <w:r w:rsidRPr="00AC383C">
        <w:rPr>
          <w:rFonts w:ascii="Arial" w:hAnsi="Arial" w:cs="Lucida Console"/>
          <w:color w:val="251F1F"/>
        </w:rPr>
        <w:t>’</w:t>
      </w:r>
      <w:r w:rsidRPr="00AC383C">
        <w:rPr>
          <w:rFonts w:ascii="Arial" w:hAnsi="Arial" w:cs="Arial"/>
          <w:color w:val="251F1F"/>
        </w:rPr>
        <w:t>s</w:t>
      </w:r>
      <w:proofErr w:type="spellEnd"/>
      <w:r w:rsidRPr="00AC383C">
        <w:rPr>
          <w:rFonts w:ascii="Arial" w:hAnsi="Arial" w:cs="Arial"/>
          <w:color w:val="251F1F"/>
        </w:rPr>
        <w:t xml:space="preserve"> Modified Dulbecco</w:t>
      </w:r>
      <w:r w:rsidRPr="00AC383C">
        <w:rPr>
          <w:rFonts w:ascii="Arial" w:hAnsi="Arial" w:cs="Lucida Console"/>
          <w:color w:val="251F1F"/>
        </w:rPr>
        <w:t>’</w:t>
      </w:r>
      <w:r w:rsidRPr="00AC383C">
        <w:rPr>
          <w:rFonts w:ascii="Arial" w:hAnsi="Arial" w:cs="Arial"/>
          <w:color w:val="251F1F"/>
        </w:rPr>
        <w:t xml:space="preserve">s Medium (IMDM), 20% FBS, </w:t>
      </w:r>
      <w:r w:rsidRPr="004F7D9A">
        <w:rPr>
          <w:rFonts w:ascii="Arial" w:hAnsi="Arial" w:cs="Verdana"/>
          <w:color w:val="312A2A"/>
          <w:szCs w:val="22"/>
        </w:rPr>
        <w:t xml:space="preserve">2mM </w:t>
      </w:r>
      <w:r>
        <w:rPr>
          <w:rFonts w:ascii="Arial" w:hAnsi="Arial" w:cs="Verdana"/>
          <w:color w:val="312A2A"/>
          <w:szCs w:val="22"/>
        </w:rPr>
        <w:t>L-</w:t>
      </w:r>
      <w:r w:rsidRPr="004F7D9A">
        <w:rPr>
          <w:rFonts w:ascii="Arial" w:hAnsi="Arial" w:cs="Verdana"/>
          <w:color w:val="312A2A"/>
          <w:szCs w:val="22"/>
        </w:rPr>
        <w:t>glutamine</w:t>
      </w:r>
      <w:r>
        <w:rPr>
          <w:rFonts w:ascii="Arial" w:hAnsi="Arial" w:cs="Verdana"/>
          <w:color w:val="312A2A"/>
          <w:szCs w:val="22"/>
        </w:rPr>
        <w:t>,</w:t>
      </w:r>
      <w:r w:rsidRPr="00AC383C">
        <w:rPr>
          <w:rFonts w:ascii="Arial" w:hAnsi="Arial" w:cs="Arial"/>
          <w:color w:val="251F1F"/>
        </w:rPr>
        <w:t xml:space="preserve"> 1% penicillin/streptomycin, 0.1 </w:t>
      </w:r>
      <w:proofErr w:type="spellStart"/>
      <w:r w:rsidRPr="00AC383C">
        <w:rPr>
          <w:rFonts w:ascii="Arial" w:hAnsi="Arial" w:cs="Arial"/>
          <w:color w:val="251F1F"/>
        </w:rPr>
        <w:t>mM</w:t>
      </w:r>
      <w:proofErr w:type="spellEnd"/>
      <w:r w:rsidRPr="00AC383C">
        <w:rPr>
          <w:rFonts w:ascii="Arial" w:hAnsi="Arial" w:cs="Arial"/>
          <w:color w:val="251F1F"/>
        </w:rPr>
        <w:t xml:space="preserve"> </w:t>
      </w:r>
      <w:r w:rsidRPr="00703742">
        <w:rPr>
          <w:rFonts w:ascii="Symbol" w:hAnsi="Symbol" w:cs="Helvetica"/>
          <w:color w:val="251F1F"/>
        </w:rPr>
        <w:t></w:t>
      </w:r>
      <w:r w:rsidRPr="00AC383C">
        <w:rPr>
          <w:rFonts w:ascii="Arial" w:hAnsi="Arial" w:cs="Arial"/>
          <w:color w:val="251F1F"/>
        </w:rPr>
        <w:t>-</w:t>
      </w:r>
      <w:proofErr w:type="spellStart"/>
      <w:r w:rsidRPr="00AC383C">
        <w:rPr>
          <w:rFonts w:ascii="Arial" w:hAnsi="Arial" w:cs="Arial"/>
          <w:color w:val="251F1F"/>
        </w:rPr>
        <w:t>mercaptoethanol</w:t>
      </w:r>
      <w:proofErr w:type="spellEnd"/>
      <w:r w:rsidRPr="00AC383C">
        <w:rPr>
          <w:rFonts w:ascii="Arial" w:hAnsi="Arial" w:cs="Arial"/>
          <w:color w:val="251F1F"/>
        </w:rPr>
        <w:t xml:space="preserve">, 50 </w:t>
      </w:r>
      <w:proofErr w:type="spellStart"/>
      <w:r w:rsidRPr="00AC383C">
        <w:rPr>
          <w:rFonts w:ascii="Arial" w:hAnsi="Arial" w:cs="Arial"/>
          <w:color w:val="251F1F"/>
        </w:rPr>
        <w:t>ng</w:t>
      </w:r>
      <w:proofErr w:type="spellEnd"/>
      <w:r w:rsidRPr="00AC383C">
        <w:rPr>
          <w:rFonts w:ascii="Arial" w:hAnsi="Arial" w:cs="Arial"/>
          <w:color w:val="251F1F"/>
        </w:rPr>
        <w:t xml:space="preserve">/ml </w:t>
      </w:r>
      <w:r w:rsidR="00703742">
        <w:rPr>
          <w:rFonts w:ascii="Arial" w:hAnsi="Arial" w:cs="Arial"/>
          <w:color w:val="251F1F"/>
        </w:rPr>
        <w:t xml:space="preserve"> each </w:t>
      </w:r>
      <w:r w:rsidRPr="00AC383C">
        <w:rPr>
          <w:rFonts w:ascii="Arial" w:hAnsi="Arial" w:cs="Arial"/>
          <w:color w:val="251F1F"/>
        </w:rPr>
        <w:t xml:space="preserve">of </w:t>
      </w:r>
      <w:proofErr w:type="spellStart"/>
      <w:r w:rsidRPr="00AC383C">
        <w:rPr>
          <w:rFonts w:ascii="Arial" w:hAnsi="Arial" w:cs="Arial"/>
          <w:color w:val="251F1F"/>
        </w:rPr>
        <w:t>rhSCF</w:t>
      </w:r>
      <w:proofErr w:type="spellEnd"/>
      <w:r w:rsidRPr="00AC383C">
        <w:rPr>
          <w:rFonts w:ascii="Arial" w:hAnsi="Arial" w:cs="Arial"/>
          <w:color w:val="251F1F"/>
        </w:rPr>
        <w:t xml:space="preserve">, rhIL3, rhIL6, </w:t>
      </w:r>
      <w:proofErr w:type="spellStart"/>
      <w:r w:rsidRPr="00AC383C">
        <w:rPr>
          <w:rFonts w:ascii="Arial" w:hAnsi="Arial" w:cs="Arial"/>
          <w:color w:val="251F1F"/>
        </w:rPr>
        <w:t>rhGCSF</w:t>
      </w:r>
      <w:proofErr w:type="spellEnd"/>
      <w:r w:rsidRPr="00AC383C">
        <w:rPr>
          <w:rFonts w:ascii="Arial" w:hAnsi="Arial" w:cs="Arial"/>
          <w:color w:val="251F1F"/>
        </w:rPr>
        <w:t xml:space="preserve">, and </w:t>
      </w:r>
      <w:proofErr w:type="spellStart"/>
      <w:r w:rsidRPr="00AC383C">
        <w:rPr>
          <w:rFonts w:ascii="Arial" w:hAnsi="Arial" w:cs="Arial"/>
          <w:color w:val="251F1F"/>
        </w:rPr>
        <w:t>rhGMCSF</w:t>
      </w:r>
      <w:proofErr w:type="spellEnd"/>
      <w:r w:rsidRPr="00AC383C">
        <w:rPr>
          <w:rFonts w:ascii="Arial" w:hAnsi="Arial" w:cs="Arial"/>
          <w:color w:val="251F1F"/>
        </w:rPr>
        <w:t xml:space="preserve">. </w:t>
      </w:r>
      <w:r w:rsidRPr="00AC383C">
        <w:rPr>
          <w:rFonts w:ascii="Arial" w:hAnsi="Arial" w:cs="Arial"/>
          <w:color w:val="000000"/>
          <w:szCs w:val="15"/>
        </w:rPr>
        <w:t>C</w:t>
      </w:r>
      <w:r w:rsidRPr="00AC383C">
        <w:rPr>
          <w:rFonts w:ascii="Arial" w:hAnsi="Arial" w:cs="Arial"/>
          <w:color w:val="251F1F"/>
        </w:rPr>
        <w:t>ells were plated at 500,000 cells per ml on CH-296 (retronectin) (Takara, Otsu, Shi</w:t>
      </w:r>
      <w:r>
        <w:rPr>
          <w:rFonts w:ascii="Arial" w:hAnsi="Arial" w:cs="Arial"/>
          <w:color w:val="251F1F"/>
        </w:rPr>
        <w:t xml:space="preserve">ga, Japan) coated-plates at 2 </w:t>
      </w:r>
      <w:r>
        <w:rPr>
          <w:rFonts w:ascii="Symbol" w:hAnsi="Symbol" w:cs="Arial"/>
          <w:color w:val="251F1F"/>
        </w:rPr>
        <w:t></w:t>
      </w:r>
      <w:r w:rsidRPr="00AC383C">
        <w:rPr>
          <w:rFonts w:ascii="Arial" w:hAnsi="Arial" w:cs="Arial"/>
          <w:color w:val="251F1F"/>
        </w:rPr>
        <w:t>g/cm</w:t>
      </w:r>
      <w:r w:rsidRPr="00AC383C">
        <w:rPr>
          <w:rFonts w:ascii="Arial" w:hAnsi="Arial" w:cs="Arial"/>
          <w:color w:val="251F1F"/>
          <w:szCs w:val="15"/>
          <w:vertAlign w:val="superscript"/>
        </w:rPr>
        <w:t>2</w:t>
      </w:r>
      <w:r w:rsidRPr="00AC383C">
        <w:rPr>
          <w:rFonts w:ascii="Arial" w:hAnsi="Arial" w:cs="Arial"/>
          <w:color w:val="251F1F"/>
          <w:szCs w:val="15"/>
        </w:rPr>
        <w:t xml:space="preserve"> </w:t>
      </w:r>
      <w:r w:rsidRPr="00AC383C">
        <w:rPr>
          <w:rFonts w:ascii="Arial" w:hAnsi="Arial" w:cs="Arial"/>
          <w:color w:val="251F1F"/>
        </w:rPr>
        <w:t>at a density of 1.3-1.5 × 10</w:t>
      </w:r>
      <w:r w:rsidRPr="00AC383C">
        <w:rPr>
          <w:rFonts w:ascii="Arial" w:hAnsi="Arial" w:cs="Arial"/>
          <w:color w:val="251F1F"/>
          <w:szCs w:val="15"/>
          <w:vertAlign w:val="superscript"/>
        </w:rPr>
        <w:t xml:space="preserve">5 </w:t>
      </w:r>
      <w:r w:rsidRPr="00AC383C">
        <w:rPr>
          <w:rFonts w:ascii="Arial" w:hAnsi="Arial" w:cs="Arial"/>
          <w:color w:val="251F1F"/>
        </w:rPr>
        <w:t>cells per cm</w:t>
      </w:r>
      <w:r w:rsidRPr="00AC383C">
        <w:rPr>
          <w:rFonts w:ascii="Arial" w:hAnsi="Arial" w:cs="Arial"/>
          <w:color w:val="251F1F"/>
          <w:szCs w:val="15"/>
          <w:vertAlign w:val="superscript"/>
        </w:rPr>
        <w:t>2</w:t>
      </w:r>
      <w:r w:rsidRPr="00AC383C">
        <w:rPr>
          <w:rFonts w:ascii="Arial" w:hAnsi="Arial" w:cs="Arial"/>
          <w:color w:val="251F1F"/>
          <w:sz w:val="15"/>
          <w:szCs w:val="15"/>
        </w:rPr>
        <w:t xml:space="preserve"> </w:t>
      </w:r>
      <w:r w:rsidRPr="00AC383C">
        <w:rPr>
          <w:rFonts w:ascii="Arial" w:hAnsi="Arial" w:cs="Arial"/>
          <w:color w:val="251F1F"/>
        </w:rPr>
        <w:t xml:space="preserve">and cultured overnight at 37 degrees Celsius in a 5% carbon dioxide humidified incubator. A double transduction protocol was utilized for improved transduction efficiency. Cells were transduced for eight hours. After 8 hours the viral culture media was removed, suspended cells were spun down at 1,500 rpm for 10 minutes, and the viral culture media was replaced with fresh media overnight. The following day a second transduction was performed for 6 hours using fresh viral supernatant. Suspended cells were harvested and adherent cells were mobilized and all cells were spun down at 1,500 rpm for 10 minutes. Cells were resuspended in media at a concentration of 700,000 cells per ml on non-TC plates. Cells were sorted using GFP fluorescence 3 days after the first transduction. In order to examine the effects of miR-150 expression on </w:t>
      </w:r>
      <w:r w:rsidRPr="00AC383C">
        <w:rPr>
          <w:rFonts w:ascii="Arial" w:hAnsi="Arial" w:cs="Arial"/>
          <w:i/>
          <w:iCs/>
          <w:color w:val="251F1F"/>
        </w:rPr>
        <w:t xml:space="preserve">in vitro </w:t>
      </w:r>
      <w:r w:rsidRPr="00AC383C">
        <w:rPr>
          <w:rFonts w:ascii="Arial" w:hAnsi="Arial" w:cs="Arial"/>
          <w:color w:val="251F1F"/>
        </w:rPr>
        <w:t xml:space="preserve">myeloid differentiation, cells after sorting were resuspended at a concentration of 700,000 cells per ml. All patient samples but BC CML patient </w:t>
      </w:r>
      <w:proofErr w:type="gramStart"/>
      <w:r w:rsidRPr="00AC383C">
        <w:rPr>
          <w:rFonts w:ascii="Arial" w:hAnsi="Arial" w:cs="Arial"/>
          <w:color w:val="251F1F"/>
        </w:rPr>
        <w:t>sample 2 were</w:t>
      </w:r>
      <w:proofErr w:type="gramEnd"/>
      <w:r w:rsidRPr="00AC383C">
        <w:rPr>
          <w:rFonts w:ascii="Arial" w:hAnsi="Arial" w:cs="Arial"/>
          <w:color w:val="251F1F"/>
        </w:rPr>
        <w:t xml:space="preserve"> grown with the addition of </w:t>
      </w:r>
      <w:r w:rsidRPr="00AC383C">
        <w:rPr>
          <w:rFonts w:ascii="Arial" w:hAnsi="Arial" w:cs="Arial"/>
          <w:color w:val="000000"/>
        </w:rPr>
        <w:t xml:space="preserve">2 U/mL </w:t>
      </w:r>
      <w:r w:rsidRPr="00AC383C">
        <w:rPr>
          <w:rFonts w:ascii="Arial" w:hAnsi="Arial" w:cs="Arial"/>
          <w:color w:val="251F1F"/>
        </w:rPr>
        <w:t xml:space="preserve">erythropoietin </w:t>
      </w:r>
      <w:r w:rsidRPr="00AC383C">
        <w:rPr>
          <w:rFonts w:ascii="Arial" w:hAnsi="Arial" w:cs="Arial"/>
          <w:color w:val="000000"/>
        </w:rPr>
        <w:t>(PROCRIT®, Janssen Biotech, Inc., Horsham, PA, USA)</w:t>
      </w:r>
      <w:r w:rsidRPr="00AC383C">
        <w:rPr>
          <w:rFonts w:ascii="Arial" w:hAnsi="Arial" w:cs="Arial"/>
          <w:color w:val="251F1F"/>
        </w:rPr>
        <w:t>.</w:t>
      </w:r>
      <w:bookmarkStart w:id="0" w:name="_GoBack"/>
      <w:bookmarkEnd w:id="0"/>
    </w:p>
    <w:p w:rsidR="00C7632C" w:rsidRPr="00AC383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C7632C" w:rsidRPr="00AC383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r w:rsidRPr="00AC383C">
        <w:rPr>
          <w:rFonts w:ascii="Arial" w:hAnsi="Arial" w:cs="Arial"/>
          <w:b/>
          <w:bCs/>
          <w:color w:val="000000"/>
        </w:rPr>
        <w:t xml:space="preserve">Microarray studies. </w:t>
      </w:r>
    </w:p>
    <w:p w:rsidR="00C7632C" w:rsidRPr="00AC383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AC383C">
        <w:rPr>
          <w:rFonts w:ascii="Arial" w:hAnsi="Arial" w:cs="Arial"/>
          <w:color w:val="000000"/>
        </w:rPr>
        <w:t xml:space="preserve">For all patient and cell line experiments 100 </w:t>
      </w:r>
      <w:proofErr w:type="spellStart"/>
      <w:r w:rsidRPr="00AC383C">
        <w:rPr>
          <w:rFonts w:ascii="Arial" w:hAnsi="Arial" w:cs="Arial"/>
          <w:color w:val="000000"/>
        </w:rPr>
        <w:t>ng</w:t>
      </w:r>
      <w:proofErr w:type="spellEnd"/>
      <w:r w:rsidRPr="00AC383C">
        <w:rPr>
          <w:rFonts w:ascii="Arial" w:hAnsi="Arial" w:cs="Arial"/>
          <w:color w:val="000000"/>
        </w:rPr>
        <w:t xml:space="preserve"> of high quality RNA was used. </w:t>
      </w:r>
      <w:r w:rsidRPr="00AC383C">
        <w:rPr>
          <w:rFonts w:ascii="Arial" w:hAnsi="Arial"/>
        </w:rPr>
        <w:t xml:space="preserve">Total RNA was labeled and hybridized to </w:t>
      </w:r>
      <w:r w:rsidRPr="00AC383C">
        <w:rPr>
          <w:rStyle w:val="slug-pub-date"/>
          <w:rFonts w:ascii="Arial" w:hAnsi="Arial" w:cs="Arial"/>
        </w:rPr>
        <w:t>Illumina Human HT-12 v.4 microarrays</w:t>
      </w:r>
      <w:r w:rsidRPr="00AC383C">
        <w:rPr>
          <w:rFonts w:ascii="Arial" w:hAnsi="Arial"/>
        </w:rPr>
        <w:t xml:space="preserve"> according to the manufacturer’s instructions by the FHCRC Genomics Core. </w:t>
      </w:r>
      <w:r w:rsidR="00703742">
        <w:rPr>
          <w:rFonts w:ascii="Arial" w:hAnsi="Arial" w:cs="Arial"/>
          <w:color w:val="000000"/>
        </w:rPr>
        <w:t>Du</w:t>
      </w:r>
      <w:r w:rsidRPr="00AC383C">
        <w:rPr>
          <w:rFonts w:ascii="Arial" w:hAnsi="Arial" w:cs="Arial"/>
          <w:color w:val="000000"/>
        </w:rPr>
        <w:t xml:space="preserve">plicates were performed for all experiments. </w:t>
      </w:r>
      <w:r w:rsidRPr="00AC383C">
        <w:rPr>
          <w:rFonts w:ascii="Arial" w:hAnsi="Arial"/>
        </w:rPr>
        <w:t xml:space="preserve">Signal intensities were </w:t>
      </w:r>
      <w:proofErr w:type="spellStart"/>
      <w:r w:rsidRPr="00AC383C">
        <w:rPr>
          <w:rFonts w:ascii="Arial" w:hAnsi="Arial"/>
        </w:rPr>
        <w:t>quantile</w:t>
      </w:r>
      <w:proofErr w:type="spellEnd"/>
      <w:r w:rsidRPr="00AC383C">
        <w:rPr>
          <w:rFonts w:ascii="Arial" w:hAnsi="Arial"/>
        </w:rPr>
        <w:t xml:space="preserve"> normalized using the “</w:t>
      </w:r>
      <w:proofErr w:type="spellStart"/>
      <w:r w:rsidRPr="00AC383C">
        <w:rPr>
          <w:rFonts w:ascii="Arial" w:hAnsi="Arial" w:cs="Arial"/>
        </w:rPr>
        <w:t>lumi</w:t>
      </w:r>
      <w:proofErr w:type="spellEnd"/>
      <w:r w:rsidRPr="00AC383C">
        <w:rPr>
          <w:rFonts w:ascii="Arial" w:hAnsi="Arial" w:cs="Arial"/>
        </w:rPr>
        <w:t xml:space="preserve"> package” from </w:t>
      </w:r>
      <w:proofErr w:type="spellStart"/>
      <w:r w:rsidRPr="00AC383C">
        <w:rPr>
          <w:rFonts w:ascii="Arial" w:hAnsi="Arial" w:cs="Arial"/>
        </w:rPr>
        <w:t>Bioconductor</w:t>
      </w:r>
      <w:proofErr w:type="spellEnd"/>
      <w:r w:rsidRPr="00AC383C">
        <w:rPr>
          <w:rFonts w:ascii="Arial" w:hAnsi="Arial" w:cs="Arial"/>
        </w:rPr>
        <w:t xml:space="preserve"> (</w:t>
      </w:r>
      <w:hyperlink r:id="rId7" w:history="1">
        <w:r w:rsidRPr="00AC383C">
          <w:rPr>
            <w:rStyle w:val="Hyperlink"/>
            <w:rFonts w:ascii="Arial" w:hAnsi="Arial" w:cs="Arial"/>
          </w:rPr>
          <w:t>http://www.bioconductor.org/</w:t>
        </w:r>
      </w:hyperlink>
      <w:r w:rsidRPr="00AC383C">
        <w:rPr>
          <w:rFonts w:ascii="Arial" w:hAnsi="Arial" w:cs="Arial"/>
        </w:rPr>
        <w:t>) and log</w:t>
      </w:r>
      <w:r w:rsidRPr="00AC383C">
        <w:rPr>
          <w:rFonts w:ascii="Arial" w:hAnsi="Arial" w:cs="Arial"/>
          <w:vertAlign w:val="subscript"/>
        </w:rPr>
        <w:t>2</w:t>
      </w:r>
      <w:r w:rsidRPr="00AC383C">
        <w:rPr>
          <w:rFonts w:ascii="Arial" w:hAnsi="Arial" w:cs="Arial"/>
        </w:rPr>
        <w:t xml:space="preserve">-transformed.  </w:t>
      </w:r>
      <w:proofErr w:type="spellStart"/>
      <w:r w:rsidRPr="00AC383C">
        <w:rPr>
          <w:rFonts w:ascii="Arial" w:hAnsi="Arial" w:cs="Arial"/>
        </w:rPr>
        <w:t>GenePlus</w:t>
      </w:r>
      <w:proofErr w:type="spellEnd"/>
      <w:r w:rsidRPr="00AC383C">
        <w:rPr>
          <w:rFonts w:ascii="Arial" w:hAnsi="Arial" w:cs="Arial"/>
        </w:rPr>
        <w:t>™ software (</w:t>
      </w:r>
      <w:proofErr w:type="spellStart"/>
      <w:r w:rsidRPr="00AC383C">
        <w:rPr>
          <w:rFonts w:ascii="Arial" w:hAnsi="Arial" w:cs="Arial"/>
        </w:rPr>
        <w:t>Enodar</w:t>
      </w:r>
      <w:proofErr w:type="spellEnd"/>
      <w:r w:rsidRPr="00AC383C">
        <w:rPr>
          <w:rFonts w:ascii="Arial" w:hAnsi="Arial" w:cs="Arial"/>
        </w:rPr>
        <w:t xml:space="preserve"> Biologic, Seattle, WA), which uses estimating equation techniques, was also used to determine differential expression between groups using ANOVA analysis to calculate p-values, z-scores, and the number of false discoveries</w:t>
      </w:r>
      <w:r w:rsidR="00591E30">
        <w:rPr>
          <w:rFonts w:ascii="Arial" w:hAnsi="Arial" w:cs="Arial"/>
        </w:rPr>
        <w:fldChar w:fldCharType="begin"/>
      </w:r>
      <w:r>
        <w:rPr>
          <w:rFonts w:ascii="Arial" w:hAnsi="Arial" w:cs="Arial"/>
        </w:rPr>
        <w:instrText>ADDIN RW.CITE{{712 Zhao,L.P. 2001}}</w:instrText>
      </w:r>
      <w:r w:rsidR="00591E30">
        <w:rPr>
          <w:rFonts w:ascii="Arial" w:hAnsi="Arial" w:cs="Arial"/>
        </w:rPr>
        <w:fldChar w:fldCharType="separate"/>
      </w:r>
      <w:r w:rsidRPr="00D1583B">
        <w:rPr>
          <w:rFonts w:ascii="Arial" w:hAnsi="Arial"/>
        </w:rPr>
        <w:t xml:space="preserve"> [2]</w:t>
      </w:r>
      <w:r w:rsidR="00591E30">
        <w:rPr>
          <w:rFonts w:ascii="Arial" w:hAnsi="Arial" w:cs="Arial"/>
        </w:rPr>
        <w:fldChar w:fldCharType="end"/>
      </w:r>
      <w:r w:rsidRPr="00AC383C">
        <w:rPr>
          <w:rFonts w:ascii="Arial" w:hAnsi="Arial" w:cs="Arial"/>
        </w:rPr>
        <w:t xml:space="preserve">. </w:t>
      </w:r>
      <w:r w:rsidRPr="00AC383C">
        <w:rPr>
          <w:rFonts w:ascii="Arial" w:hAnsi="Arial" w:cs="Arial"/>
          <w:color w:val="000000"/>
        </w:rPr>
        <w:t>Ingenuity Pathways Analysis (IPA, Ingenuity Systems®, www.ingenuity.com) was used to determine biologically enriched pathways and functions based on relationships in published literature. The p-value is calculated using a right-tailed Fisher's Exact Test and measures the statistical significance of a particular function or pathway in our data with respect to the reference set defined by IPA. For miRNA target analysis, targets are culled primarily from TargetScan (</w:t>
      </w:r>
      <w:r w:rsidRPr="00AC383C">
        <w:rPr>
          <w:rFonts w:ascii="Arial" w:hAnsi="Arial" w:cs="Arial"/>
          <w:color w:val="0000FF"/>
        </w:rPr>
        <w:t>http://www.targetscan.org/</w:t>
      </w:r>
      <w:r w:rsidRPr="00AC383C">
        <w:rPr>
          <w:rFonts w:ascii="Arial" w:hAnsi="Arial" w:cs="Arial"/>
          <w:color w:val="000000"/>
        </w:rPr>
        <w:t xml:space="preserve">), but also include other targets collated by IPA. The program allows for prediction of putative miRNA targets that are increased or decreased in our gene expression data sets. A new feature of IPA is the Upstream Regulator Analysis. Upstream regulators included transcription factors, </w:t>
      </w:r>
      <w:r w:rsidRPr="00AC383C">
        <w:rPr>
          <w:rFonts w:ascii="Arial" w:hAnsi="Arial" w:cs="Arial"/>
          <w:color w:val="000000"/>
        </w:rPr>
        <w:lastRenderedPageBreak/>
        <w:t>cytokines, miRNAs, receptors, kinases, and chemicals and drugs. Upstream Regulator Analysis identifies putative upstream regulators that are activated or inhibited in our gene expression data sets. Activation or inhibition is assigned based on relationships derived from the literature and various databases and the direction of expression change in the array data provided. It also identifies candidates that are statistically significantly enriched when the direction cannot be ascertained. The p-value is calculated using Fisher’s Exact Test.</w:t>
      </w:r>
    </w:p>
    <w:p w:rsidR="00C7632C" w:rsidRPr="00AC383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p>
    <w:p w:rsidR="00C7632C" w:rsidRPr="00436B8C" w:rsidRDefault="00C7632C" w:rsidP="00C7632C">
      <w:pPr>
        <w:jc w:val="both"/>
        <w:rPr>
          <w:rFonts w:ascii="Arial" w:hAnsi="Arial"/>
        </w:rPr>
      </w:pPr>
      <w:r w:rsidRPr="00A130BE">
        <w:rPr>
          <w:rFonts w:ascii="Arial" w:hAnsi="Arial" w:cs="Arial"/>
          <w:b/>
          <w:bCs/>
        </w:rPr>
        <w:t xml:space="preserve">RNA sequencing. </w:t>
      </w:r>
      <w:r w:rsidRPr="00A130BE">
        <w:rPr>
          <w:rFonts w:ascii="Arial" w:hAnsi="Arial"/>
        </w:rPr>
        <w:t xml:space="preserve">For pediatric AML patients, </w:t>
      </w:r>
      <w:r w:rsidRPr="00A130BE">
        <w:rPr>
          <w:rFonts w:ascii="Arial" w:hAnsi="Arial" w:cs="Helvetica"/>
        </w:rPr>
        <w:t xml:space="preserve">RNA was processed and sequenced by the BC Cancer Agency (Vancouver, BC, Canada). Using an adaptor that binds to the 3’ end of the RNA, PCR products are pooled and size-selected on a 96-channel robot to enrich the miRNA-containing fraction and to remove adapter contaminants. Each pool is then diluted to a target concentration for cluster generation and loaded into an </w:t>
      </w:r>
      <w:proofErr w:type="spellStart"/>
      <w:r w:rsidRPr="00A130BE">
        <w:rPr>
          <w:rFonts w:ascii="Arial" w:hAnsi="Arial" w:cs="Helvetica"/>
        </w:rPr>
        <w:t>Illumina</w:t>
      </w:r>
      <w:proofErr w:type="spellEnd"/>
      <w:r w:rsidRPr="00A130BE">
        <w:rPr>
          <w:rFonts w:ascii="Arial" w:hAnsi="Arial" w:cs="Helvetica"/>
        </w:rPr>
        <w:t xml:space="preserve"> </w:t>
      </w:r>
      <w:proofErr w:type="spellStart"/>
      <w:r w:rsidRPr="00A130BE">
        <w:rPr>
          <w:rFonts w:ascii="Arial" w:hAnsi="Arial" w:cs="Helvetica"/>
        </w:rPr>
        <w:t>Hiseq</w:t>
      </w:r>
      <w:proofErr w:type="spellEnd"/>
      <w:r w:rsidRPr="00A130BE">
        <w:rPr>
          <w:rFonts w:ascii="Arial" w:hAnsi="Arial" w:cs="Helvetica"/>
        </w:rPr>
        <w:t xml:space="preserve"> 2000 flow cell for sequencing.  Raw mature strand expression levels were presented as the number of reads aligned to a miRNA for each patient sample. This data is then normalized to reads per million and then logged to a base 2.</w:t>
      </w:r>
    </w:p>
    <w:p w:rsidR="00C7632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42006" w:rsidRDefault="00E42006" w:rsidP="00E4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E42006">
        <w:rPr>
          <w:rFonts w:ascii="Arial" w:hAnsi="Arial" w:cs="Arial"/>
          <w:b/>
          <w:bCs/>
          <w:color w:val="000000"/>
        </w:rPr>
        <w:t xml:space="preserve">Luciferase Assays. </w:t>
      </w:r>
      <w:r w:rsidRPr="00E42006">
        <w:rPr>
          <w:rFonts w:ascii="Arial" w:hAnsi="Arial" w:cs="Arial"/>
          <w:color w:val="000000"/>
        </w:rPr>
        <w:t xml:space="preserve">3’UTR </w:t>
      </w:r>
      <w:proofErr w:type="spellStart"/>
      <w:r w:rsidRPr="00E42006">
        <w:rPr>
          <w:rFonts w:ascii="Arial" w:hAnsi="Arial" w:cs="Arial"/>
          <w:color w:val="000000"/>
        </w:rPr>
        <w:t>LightSwitch</w:t>
      </w:r>
      <w:proofErr w:type="spellEnd"/>
      <w:r w:rsidRPr="00E42006">
        <w:rPr>
          <w:rFonts w:ascii="Arial" w:hAnsi="Arial" w:cs="Arial"/>
          <w:color w:val="000000"/>
        </w:rPr>
        <w:t xml:space="preserve"> luciferase reporters for GAPDH, MYB, ATF5, and Random Genomic Sequence (RO3) were purchased from SwitchGear Genomics (Menlo Park, CA, USA). </w:t>
      </w:r>
      <w:r w:rsidR="002E18BA" w:rsidRPr="00E42006">
        <w:rPr>
          <w:rFonts w:ascii="Arial" w:hAnsi="Arial" w:cs="Arial"/>
          <w:color w:val="000000"/>
        </w:rPr>
        <w:t>IRF8 3’UTR containing one pu</w:t>
      </w:r>
      <w:r w:rsidR="002E18BA">
        <w:rPr>
          <w:rFonts w:ascii="Arial" w:hAnsi="Arial" w:cs="Arial"/>
          <w:color w:val="000000"/>
        </w:rPr>
        <w:t>tative miR-150 binding site</w:t>
      </w:r>
      <w:r w:rsidR="002E18BA" w:rsidRPr="00E42006">
        <w:rPr>
          <w:rFonts w:ascii="Arial" w:hAnsi="Arial" w:cs="Arial"/>
          <w:color w:val="000000"/>
        </w:rPr>
        <w:t xml:space="preserve"> was cloned into the </w:t>
      </w:r>
      <w:r w:rsidR="002E18BA" w:rsidRPr="00E42006">
        <w:rPr>
          <w:rFonts w:ascii="Arial" w:hAnsi="Arial" w:cs="Arial"/>
          <w:i/>
          <w:iCs/>
          <w:color w:val="000000"/>
        </w:rPr>
        <w:t xml:space="preserve">Xba1 </w:t>
      </w:r>
      <w:r w:rsidR="002E18BA" w:rsidRPr="00E42006">
        <w:rPr>
          <w:rFonts w:ascii="Arial" w:hAnsi="Arial" w:cs="Arial"/>
          <w:color w:val="000000"/>
        </w:rPr>
        <w:t xml:space="preserve">and </w:t>
      </w:r>
      <w:r w:rsidR="002E18BA" w:rsidRPr="00E42006">
        <w:rPr>
          <w:rFonts w:ascii="Arial" w:hAnsi="Arial" w:cs="Arial"/>
          <w:i/>
          <w:iCs/>
          <w:color w:val="000000"/>
        </w:rPr>
        <w:t xml:space="preserve">Xho1 </w:t>
      </w:r>
      <w:r w:rsidR="002E18BA">
        <w:rPr>
          <w:rFonts w:ascii="Arial" w:hAnsi="Arial" w:cs="Arial"/>
          <w:color w:val="000000"/>
        </w:rPr>
        <w:t xml:space="preserve">sites of the </w:t>
      </w:r>
      <w:r w:rsidR="002E18BA" w:rsidRPr="00E42006">
        <w:rPr>
          <w:rFonts w:ascii="Arial" w:hAnsi="Arial" w:cs="Arial"/>
          <w:color w:val="000000"/>
        </w:rPr>
        <w:t>3</w:t>
      </w:r>
      <w:r w:rsidR="002E18BA">
        <w:rPr>
          <w:rFonts w:ascii="Arial" w:hAnsi="Arial" w:cs="Arial"/>
          <w:color w:val="000000"/>
        </w:rPr>
        <w:t>’</w:t>
      </w:r>
      <w:r w:rsidR="002E18BA" w:rsidRPr="00E42006">
        <w:rPr>
          <w:rFonts w:ascii="Arial" w:hAnsi="Arial" w:cs="Arial"/>
          <w:color w:val="000000"/>
        </w:rPr>
        <w:t>UTR</w:t>
      </w:r>
      <w:r w:rsidR="002E18BA">
        <w:rPr>
          <w:rFonts w:ascii="Arial" w:hAnsi="Arial" w:cs="Arial"/>
          <w:color w:val="000000"/>
        </w:rPr>
        <w:t xml:space="preserve"> </w:t>
      </w:r>
      <w:proofErr w:type="spellStart"/>
      <w:r w:rsidR="002E18BA">
        <w:rPr>
          <w:rFonts w:ascii="Arial" w:hAnsi="Arial" w:cs="Arial"/>
          <w:color w:val="000000"/>
        </w:rPr>
        <w:t>pLightSwitch</w:t>
      </w:r>
      <w:proofErr w:type="spellEnd"/>
      <w:r w:rsidR="002E18BA" w:rsidRPr="00E42006">
        <w:rPr>
          <w:rFonts w:ascii="Arial" w:hAnsi="Arial" w:cs="Arial"/>
          <w:color w:val="000000"/>
        </w:rPr>
        <w:t xml:space="preserve"> </w:t>
      </w:r>
      <w:r w:rsidR="002E18BA">
        <w:rPr>
          <w:rFonts w:ascii="Arial" w:hAnsi="Arial" w:cs="Arial"/>
          <w:color w:val="000000"/>
        </w:rPr>
        <w:t xml:space="preserve">empty </w:t>
      </w:r>
      <w:r w:rsidR="002E18BA" w:rsidRPr="00E42006">
        <w:rPr>
          <w:rFonts w:ascii="Arial" w:hAnsi="Arial" w:cs="Arial"/>
          <w:color w:val="000000"/>
        </w:rPr>
        <w:t>plasmid using PCR.</w:t>
      </w:r>
      <w:r w:rsidR="002E18BA">
        <w:rPr>
          <w:rFonts w:ascii="Arial" w:hAnsi="Arial" w:cs="Arial"/>
          <w:color w:val="000000"/>
        </w:rPr>
        <w:t xml:space="preserve"> </w:t>
      </w:r>
      <w:r w:rsidRPr="00E42006">
        <w:rPr>
          <w:rFonts w:ascii="Arial" w:hAnsi="Arial" w:cs="Arial"/>
          <w:color w:val="000000"/>
        </w:rPr>
        <w:t>HT1080 or K562 cells were co-transfected with pre-miR-150 or double mutant pre-miR-150 lentiviral constructs, and the pGL3-Promoter vector (</w:t>
      </w:r>
      <w:proofErr w:type="spellStart"/>
      <w:r w:rsidRPr="00E42006">
        <w:rPr>
          <w:rFonts w:ascii="Arial" w:hAnsi="Arial" w:cs="Arial"/>
          <w:color w:val="000000"/>
        </w:rPr>
        <w:t>Promega</w:t>
      </w:r>
      <w:proofErr w:type="spellEnd"/>
      <w:r w:rsidRPr="00E42006">
        <w:rPr>
          <w:rFonts w:ascii="Arial" w:hAnsi="Arial" w:cs="Arial"/>
          <w:color w:val="000000"/>
        </w:rPr>
        <w:t>, Madison, WI, USA) as a transfection control and assayed using the Dual-Luciferase Reporter Assay (</w:t>
      </w:r>
      <w:proofErr w:type="spellStart"/>
      <w:r w:rsidRPr="00E42006">
        <w:rPr>
          <w:rFonts w:ascii="Arial" w:hAnsi="Arial" w:cs="Arial"/>
          <w:color w:val="000000"/>
        </w:rPr>
        <w:t>Promega</w:t>
      </w:r>
      <w:proofErr w:type="spellEnd"/>
      <w:r w:rsidRPr="00E42006">
        <w:rPr>
          <w:rFonts w:ascii="Arial" w:hAnsi="Arial" w:cs="Arial"/>
          <w:color w:val="000000"/>
        </w:rPr>
        <w:t xml:space="preserve">) on a </w:t>
      </w:r>
      <w:proofErr w:type="spellStart"/>
      <w:r w:rsidRPr="00E42006">
        <w:rPr>
          <w:rFonts w:ascii="Arial" w:hAnsi="Arial" w:cs="Arial"/>
          <w:color w:val="000000"/>
        </w:rPr>
        <w:t>BioTek</w:t>
      </w:r>
      <w:proofErr w:type="spellEnd"/>
      <w:r w:rsidRPr="00E42006">
        <w:rPr>
          <w:rFonts w:ascii="Arial" w:hAnsi="Arial" w:cs="Arial"/>
          <w:color w:val="000000"/>
        </w:rPr>
        <w:t xml:space="preserve"> Synergy plate reader (</w:t>
      </w:r>
      <w:proofErr w:type="spellStart"/>
      <w:r w:rsidRPr="00E42006">
        <w:rPr>
          <w:rFonts w:ascii="Arial" w:hAnsi="Arial" w:cs="Arial"/>
          <w:color w:val="000000"/>
        </w:rPr>
        <w:t>BioTek</w:t>
      </w:r>
      <w:proofErr w:type="spellEnd"/>
      <w:r w:rsidRPr="00E42006">
        <w:rPr>
          <w:rFonts w:ascii="Arial" w:hAnsi="Arial" w:cs="Arial"/>
          <w:color w:val="000000"/>
        </w:rPr>
        <w:t xml:space="preserve">, </w:t>
      </w:r>
      <w:r w:rsidRPr="00E42006">
        <w:rPr>
          <w:rFonts w:ascii="Arial" w:hAnsi="Arial" w:cs="Arial"/>
        </w:rPr>
        <w:t>Winooski, VT, USA)</w:t>
      </w:r>
      <w:r w:rsidRPr="00E42006">
        <w:rPr>
          <w:rFonts w:ascii="Arial" w:hAnsi="Arial" w:cs="Arial"/>
          <w:color w:val="000000"/>
        </w:rPr>
        <w:t xml:space="preserve">. </w:t>
      </w:r>
    </w:p>
    <w:p w:rsidR="00C7632C" w:rsidRPr="00AC383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C7632C" w:rsidRPr="00AC383C" w:rsidRDefault="00C7632C" w:rsidP="00C7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rPr>
      </w:pPr>
      <w:r w:rsidRPr="00AC383C">
        <w:rPr>
          <w:rFonts w:ascii="Arial" w:hAnsi="Arial" w:cs="Arial"/>
          <w:b/>
          <w:color w:val="000000"/>
        </w:rPr>
        <w:t>References</w:t>
      </w:r>
      <w:r>
        <w:rPr>
          <w:rFonts w:ascii="Arial" w:hAnsi="Arial" w:cs="Arial"/>
          <w:b/>
          <w:color w:val="000000"/>
        </w:rPr>
        <w:t>.</w:t>
      </w:r>
    </w:p>
    <w:p w:rsidR="00C7632C" w:rsidRPr="00D1583B" w:rsidRDefault="00591E30" w:rsidP="00C7632C">
      <w:pPr>
        <w:pStyle w:val="NormalWeb"/>
        <w:spacing w:before="2" w:after="2"/>
        <w:jc w:val="center"/>
        <w:rPr>
          <w:rFonts w:ascii="Arial" w:hAnsi="Arial"/>
        </w:rPr>
      </w:pPr>
      <w:r>
        <w:rPr>
          <w:rFonts w:ascii="Arial" w:hAnsi="Arial"/>
        </w:rPr>
        <w:fldChar w:fldCharType="begin"/>
      </w:r>
      <w:r w:rsidR="00C7632C">
        <w:rPr>
          <w:rFonts w:ascii="Arial" w:hAnsi="Arial"/>
        </w:rPr>
        <w:instrText>ADDIN RW.BIB</w:instrText>
      </w:r>
      <w:r>
        <w:rPr>
          <w:rFonts w:ascii="Arial" w:hAnsi="Arial"/>
        </w:rPr>
        <w:fldChar w:fldCharType="separate"/>
      </w:r>
      <w:r w:rsidR="00C7632C" w:rsidRPr="00D1583B">
        <w:rPr>
          <w:rFonts w:ascii="Arial" w:hAnsi="Arial"/>
        </w:rPr>
        <w:t xml:space="preserve"> References</w:t>
      </w:r>
    </w:p>
    <w:p w:rsidR="00C7632C" w:rsidRPr="00D1583B" w:rsidRDefault="00C7632C" w:rsidP="00C7632C">
      <w:pPr>
        <w:pStyle w:val="NormalWeb"/>
        <w:spacing w:before="2" w:after="2"/>
        <w:ind w:left="480" w:hanging="480"/>
        <w:rPr>
          <w:rFonts w:ascii="Arial" w:hAnsi="Arial"/>
        </w:rPr>
      </w:pPr>
      <w:r w:rsidRPr="00D1583B">
        <w:rPr>
          <w:rFonts w:ascii="Arial" w:hAnsi="Arial"/>
        </w:rPr>
        <w:t>1. Oehler VG, Guthrie KA, Cummings CL, Sabo K, Wood BL, et al. (2009) The preferentially expressed antigen in melanoma (PRAME) inhibits myeloid differentiation in normal hematopoietic and leukemic progenitor cells. Blood 114: 3299-3308. 10.1182/blood-2008-07-170282.</w:t>
      </w:r>
    </w:p>
    <w:p w:rsidR="00C7632C" w:rsidRPr="00D1583B" w:rsidRDefault="00C7632C" w:rsidP="00C7632C">
      <w:pPr>
        <w:pStyle w:val="NormalWeb"/>
        <w:spacing w:before="2" w:after="2"/>
        <w:ind w:left="480" w:hanging="480"/>
        <w:rPr>
          <w:rFonts w:ascii="Arial" w:hAnsi="Arial"/>
        </w:rPr>
      </w:pPr>
      <w:r w:rsidRPr="00D1583B">
        <w:rPr>
          <w:rFonts w:ascii="Arial" w:hAnsi="Arial"/>
        </w:rPr>
        <w:t>2. Zhao LP, Prentice R, Breeden L. (2001) Statistical modeling of large microarray data sets to identify stimulus-response profiles. Proc Natl Acad Sci U S A 98: 5631-5636. 10.1073/pnas.101013198.</w:t>
      </w:r>
    </w:p>
    <w:p w:rsidR="00C7632C" w:rsidRPr="00E42006" w:rsidRDefault="00C7632C" w:rsidP="00C7632C">
      <w:pPr>
        <w:pStyle w:val="NormalWeb"/>
        <w:spacing w:before="2" w:after="2"/>
        <w:ind w:left="480" w:hanging="480"/>
        <w:rPr>
          <w:rFonts w:ascii="Arial" w:hAnsi="Arial"/>
        </w:rPr>
      </w:pPr>
      <w:r w:rsidRPr="00E42006">
        <w:rPr>
          <w:rFonts w:ascii="Arial" w:hAnsi="Arial"/>
        </w:rPr>
        <w:t>3. Petriv OI, Kuchenbauer F, Delaney AD, Lecault V, White A, et al. (2010) Comprehensive microRNA expression profiling of the hematopoietic hierarchy. Proc Natl Acad Sci U S A 107: 15443-15448. 10.1073/pnas.1009320107.</w:t>
      </w:r>
    </w:p>
    <w:p w:rsidR="00727C9F" w:rsidRPr="00D1583B" w:rsidRDefault="00727C9F" w:rsidP="00C7632C">
      <w:pPr>
        <w:pStyle w:val="NormalWeb"/>
        <w:spacing w:before="2" w:after="2"/>
        <w:ind w:left="480" w:hanging="480"/>
        <w:rPr>
          <w:rFonts w:ascii="Arial" w:hAnsi="Arial"/>
        </w:rPr>
      </w:pPr>
      <w:r w:rsidRPr="00E42006">
        <w:rPr>
          <w:rFonts w:ascii="Arial" w:hAnsi="Arial" w:cs="Arial"/>
        </w:rPr>
        <w:t>4.  Stegmaier K, Ross KN, Colavito SA, O'Malley S, Stockwell BR, et al. (2004) Gene expression-based high-throughput screening(GE-HTS) and application to leukemia differentiation. Nat Genet 36: 257-263. 10.1038/ng1305.</w:t>
      </w:r>
    </w:p>
    <w:p w:rsidR="00C7632C" w:rsidRPr="00AC383C" w:rsidRDefault="00591E30" w:rsidP="00C7632C">
      <w:pPr>
        <w:pStyle w:val="NormalWeb"/>
        <w:spacing w:before="2" w:after="2"/>
        <w:jc w:val="center"/>
        <w:rPr>
          <w:rFonts w:ascii="Arial" w:hAnsi="Arial"/>
        </w:rPr>
      </w:pPr>
      <w:r>
        <w:rPr>
          <w:rFonts w:ascii="Arial" w:hAnsi="Arial"/>
        </w:rPr>
        <w:lastRenderedPageBreak/>
        <w:fldChar w:fldCharType="end"/>
      </w:r>
    </w:p>
    <w:p w:rsidR="00C7632C" w:rsidRPr="00AC383C" w:rsidRDefault="00C7632C" w:rsidP="00C7632C">
      <w:pPr>
        <w:jc w:val="both"/>
        <w:rPr>
          <w:rFonts w:ascii="Arial" w:hAnsi="Arial"/>
        </w:rPr>
      </w:pPr>
    </w:p>
    <w:sectPr w:rsidR="00C7632C" w:rsidRPr="00AC383C" w:rsidSect="00C7632C">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0AE6"/>
    <w:multiLevelType w:val="hybridMultilevel"/>
    <w:tmpl w:val="169239F0"/>
    <w:lvl w:ilvl="0" w:tplc="43B4E538">
      <w:start w:val="1"/>
      <w:numFmt w:val="decimal"/>
      <w:lvlText w:val="%1."/>
      <w:lvlJc w:val="left"/>
      <w:pPr>
        <w:ind w:left="720" w:hanging="360"/>
      </w:pPr>
      <w:rPr>
        <w:rFonts w:cs="Lucida Grand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90B1B"/>
    <w:multiLevelType w:val="hybridMultilevel"/>
    <w:tmpl w:val="169239F0"/>
    <w:lvl w:ilvl="0" w:tplc="43B4E538">
      <w:start w:val="1"/>
      <w:numFmt w:val="decimal"/>
      <w:lvlText w:val="%1."/>
      <w:lvlJc w:val="left"/>
      <w:pPr>
        <w:ind w:left="720" w:hanging="360"/>
      </w:pPr>
      <w:rPr>
        <w:rFonts w:cs="Lucida Grand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952187"/>
    <w:rsid w:val="001378A9"/>
    <w:rsid w:val="0022145C"/>
    <w:rsid w:val="002426B8"/>
    <w:rsid w:val="00266869"/>
    <w:rsid w:val="002C6F82"/>
    <w:rsid w:val="002E18BA"/>
    <w:rsid w:val="004A39C7"/>
    <w:rsid w:val="00591E30"/>
    <w:rsid w:val="00606620"/>
    <w:rsid w:val="00703742"/>
    <w:rsid w:val="0072531C"/>
    <w:rsid w:val="00727C9F"/>
    <w:rsid w:val="007D5B46"/>
    <w:rsid w:val="008D1A54"/>
    <w:rsid w:val="00935213"/>
    <w:rsid w:val="00952187"/>
    <w:rsid w:val="009552F4"/>
    <w:rsid w:val="00974414"/>
    <w:rsid w:val="009D428A"/>
    <w:rsid w:val="009D535A"/>
    <w:rsid w:val="00A218B1"/>
    <w:rsid w:val="00A27208"/>
    <w:rsid w:val="00A9294B"/>
    <w:rsid w:val="00A96F82"/>
    <w:rsid w:val="00B05909"/>
    <w:rsid w:val="00B34878"/>
    <w:rsid w:val="00C7632C"/>
    <w:rsid w:val="00CC6BDC"/>
    <w:rsid w:val="00D87A6F"/>
    <w:rsid w:val="00E22282"/>
    <w:rsid w:val="00E42006"/>
    <w:rsid w:val="00E8234E"/>
    <w:rsid w:val="00EB1B8D"/>
    <w:rsid w:val="00EF5B1B"/>
    <w:rsid w:val="00F10EE8"/>
    <w:rsid w:val="00F447EF"/>
    <w:rsid w:val="00F96578"/>
    <w:rsid w:val="00FC734A"/>
    <w:rsid w:val="00FE77F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4F36"/>
    <w:rPr>
      <w:rFonts w:ascii="Lucida Grande" w:hAnsi="Lucida Grande"/>
      <w:sz w:val="18"/>
      <w:szCs w:val="18"/>
    </w:rPr>
  </w:style>
  <w:style w:type="character" w:customStyle="1" w:styleId="BalloonTextChar">
    <w:name w:val="Balloon Text Char"/>
    <w:basedOn w:val="DefaultParagraphFont"/>
    <w:link w:val="BalloonText"/>
    <w:rsid w:val="00A44F36"/>
    <w:rPr>
      <w:rFonts w:ascii="Lucida Grande" w:hAnsi="Lucida Grande"/>
      <w:sz w:val="18"/>
      <w:szCs w:val="18"/>
    </w:rPr>
  </w:style>
  <w:style w:type="character" w:customStyle="1" w:styleId="slug-pub-date">
    <w:name w:val="slug-pub-date"/>
    <w:basedOn w:val="DefaultParagraphFont"/>
    <w:rsid w:val="00463E9D"/>
    <w:rPr>
      <w:rFonts w:cs="Times New Roman"/>
    </w:rPr>
  </w:style>
  <w:style w:type="character" w:styleId="Hyperlink">
    <w:name w:val="Hyperlink"/>
    <w:basedOn w:val="DefaultParagraphFont"/>
    <w:rsid w:val="00463E9D"/>
    <w:rPr>
      <w:rFonts w:cs="Times New Roman"/>
      <w:color w:val="0000D4"/>
      <w:u w:val="single"/>
    </w:rPr>
  </w:style>
  <w:style w:type="paragraph" w:styleId="NormalWeb">
    <w:name w:val="Normal (Web)"/>
    <w:basedOn w:val="Normal"/>
    <w:uiPriority w:val="99"/>
    <w:unhideWhenUsed/>
    <w:rsid w:val="0075559B"/>
    <w:pPr>
      <w:spacing w:before="100" w:beforeAutospacing="1" w:after="100" w:afterAutospacing="1"/>
    </w:pPr>
    <w:rPr>
      <w:rFonts w:ascii="Times New Roman" w:eastAsia="Times New Roman" w:hAnsi="Times New Roman"/>
    </w:rPr>
  </w:style>
  <w:style w:type="paragraph" w:styleId="ListParagraph">
    <w:name w:val="List Paragraph"/>
    <w:basedOn w:val="Normal"/>
    <w:rsid w:val="00AC383C"/>
    <w:pPr>
      <w:ind w:left="720"/>
      <w:contextualSpacing/>
    </w:pPr>
  </w:style>
  <w:style w:type="paragraph" w:styleId="CommentText">
    <w:name w:val="annotation text"/>
    <w:basedOn w:val="Normal"/>
    <w:link w:val="CommentTextChar"/>
    <w:rsid w:val="0040542B"/>
    <w:pPr>
      <w:widowControl w:val="0"/>
      <w:tabs>
        <w:tab w:val="left" w:pos="-720"/>
      </w:tabs>
      <w:suppressAutoHyphens/>
    </w:pPr>
    <w:rPr>
      <w:rFonts w:ascii="Arial" w:hAnsi="Arial"/>
      <w:sz w:val="20"/>
      <w:szCs w:val="20"/>
    </w:rPr>
  </w:style>
  <w:style w:type="character" w:customStyle="1" w:styleId="CommentTextChar">
    <w:name w:val="Comment Text Char"/>
    <w:basedOn w:val="DefaultParagraphFont"/>
    <w:link w:val="CommentText"/>
    <w:rsid w:val="0040542B"/>
    <w:rPr>
      <w:rFonts w:ascii="Arial" w:hAnsi="Arial"/>
    </w:rPr>
  </w:style>
  <w:style w:type="character" w:styleId="CommentReference">
    <w:name w:val="annotation reference"/>
    <w:basedOn w:val="DefaultParagraphFont"/>
    <w:rsid w:val="0040542B"/>
    <w:rPr>
      <w:rFonts w:cs="Times New Roman"/>
      <w:sz w:val="16"/>
      <w:szCs w:val="16"/>
    </w:rPr>
  </w:style>
  <w:style w:type="paragraph" w:styleId="CommentSubject">
    <w:name w:val="annotation subject"/>
    <w:basedOn w:val="CommentText"/>
    <w:next w:val="CommentText"/>
    <w:link w:val="CommentSubjectChar"/>
    <w:rsid w:val="0022145C"/>
    <w:pPr>
      <w:widowControl/>
      <w:tabs>
        <w:tab w:val="clear" w:pos="-720"/>
      </w:tabs>
      <w:suppressAutoHyphens w:val="0"/>
    </w:pPr>
    <w:rPr>
      <w:rFonts w:ascii="Cambria" w:hAnsi="Cambria"/>
      <w:b/>
      <w:bCs/>
    </w:rPr>
  </w:style>
  <w:style w:type="character" w:customStyle="1" w:styleId="CommentSubjectChar">
    <w:name w:val="Comment Subject Char"/>
    <w:basedOn w:val="CommentTextChar"/>
    <w:link w:val="CommentSubject"/>
    <w:rsid w:val="0022145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4F36"/>
    <w:rPr>
      <w:rFonts w:ascii="Lucida Grande" w:hAnsi="Lucida Grande"/>
      <w:sz w:val="18"/>
      <w:szCs w:val="18"/>
    </w:rPr>
  </w:style>
  <w:style w:type="character" w:customStyle="1" w:styleId="BalloonTextChar">
    <w:name w:val="Balloon Text Char"/>
    <w:basedOn w:val="DefaultParagraphFont"/>
    <w:link w:val="BalloonText"/>
    <w:rsid w:val="00A44F36"/>
    <w:rPr>
      <w:rFonts w:ascii="Lucida Grande" w:hAnsi="Lucida Grande"/>
      <w:sz w:val="18"/>
      <w:szCs w:val="18"/>
    </w:rPr>
  </w:style>
  <w:style w:type="character" w:customStyle="1" w:styleId="slug-pub-date">
    <w:name w:val="slug-pub-date"/>
    <w:basedOn w:val="DefaultParagraphFont"/>
    <w:rsid w:val="00463E9D"/>
    <w:rPr>
      <w:rFonts w:cs="Times New Roman"/>
    </w:rPr>
  </w:style>
  <w:style w:type="character" w:styleId="Hyperlink">
    <w:name w:val="Hyperlink"/>
    <w:basedOn w:val="DefaultParagraphFont"/>
    <w:rsid w:val="00463E9D"/>
    <w:rPr>
      <w:rFonts w:cs="Times New Roman"/>
      <w:color w:val="0000D4"/>
      <w:u w:val="single"/>
    </w:rPr>
  </w:style>
  <w:style w:type="paragraph" w:styleId="NormalWeb">
    <w:name w:val="Normal (Web)"/>
    <w:basedOn w:val="Normal"/>
    <w:uiPriority w:val="99"/>
    <w:unhideWhenUsed/>
    <w:rsid w:val="0075559B"/>
    <w:pPr>
      <w:spacing w:before="100" w:beforeAutospacing="1" w:after="100" w:afterAutospacing="1"/>
    </w:pPr>
    <w:rPr>
      <w:rFonts w:ascii="Times New Roman" w:eastAsia="Times New Roman" w:hAnsi="Times New Roman"/>
    </w:rPr>
  </w:style>
  <w:style w:type="paragraph" w:styleId="ListParagraph">
    <w:name w:val="List Paragraph"/>
    <w:basedOn w:val="Normal"/>
    <w:rsid w:val="00AC383C"/>
    <w:pPr>
      <w:ind w:left="720"/>
      <w:contextualSpacing/>
    </w:pPr>
  </w:style>
  <w:style w:type="paragraph" w:styleId="CommentText">
    <w:name w:val="annotation text"/>
    <w:basedOn w:val="Normal"/>
    <w:link w:val="CommentTextChar"/>
    <w:rsid w:val="0040542B"/>
    <w:pPr>
      <w:widowControl w:val="0"/>
      <w:tabs>
        <w:tab w:val="left" w:pos="-720"/>
      </w:tabs>
      <w:suppressAutoHyphens/>
    </w:pPr>
    <w:rPr>
      <w:rFonts w:ascii="Arial" w:hAnsi="Arial"/>
      <w:sz w:val="20"/>
      <w:szCs w:val="20"/>
    </w:rPr>
  </w:style>
  <w:style w:type="character" w:customStyle="1" w:styleId="CommentTextChar">
    <w:name w:val="Comment Text Char"/>
    <w:basedOn w:val="DefaultParagraphFont"/>
    <w:link w:val="CommentText"/>
    <w:rsid w:val="0040542B"/>
    <w:rPr>
      <w:rFonts w:ascii="Arial" w:hAnsi="Arial"/>
    </w:rPr>
  </w:style>
  <w:style w:type="character" w:styleId="CommentReference">
    <w:name w:val="annotation reference"/>
    <w:basedOn w:val="DefaultParagraphFont"/>
    <w:rsid w:val="0040542B"/>
    <w:rPr>
      <w:rFonts w:cs="Times New Roman"/>
      <w:sz w:val="16"/>
      <w:szCs w:val="16"/>
    </w:rPr>
  </w:style>
  <w:style w:type="paragraph" w:styleId="CommentSubject">
    <w:name w:val="annotation subject"/>
    <w:basedOn w:val="CommentText"/>
    <w:next w:val="CommentText"/>
    <w:link w:val="CommentSubjectChar"/>
    <w:rsid w:val="0022145C"/>
    <w:pPr>
      <w:widowControl/>
      <w:tabs>
        <w:tab w:val="clear" w:pos="-720"/>
      </w:tabs>
      <w:suppressAutoHyphens w:val="0"/>
    </w:pPr>
    <w:rPr>
      <w:rFonts w:ascii="Cambria" w:hAnsi="Cambria"/>
      <w:b/>
      <w:bCs/>
    </w:rPr>
  </w:style>
  <w:style w:type="character" w:customStyle="1" w:styleId="CommentSubjectChar">
    <w:name w:val="Comment Subject Char"/>
    <w:basedOn w:val="CommentTextChar"/>
    <w:link w:val="CommentSubject"/>
    <w:rsid w:val="002214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24238">
      <w:bodyDiv w:val="1"/>
      <w:marLeft w:val="0"/>
      <w:marRight w:val="0"/>
      <w:marTop w:val="0"/>
      <w:marBottom w:val="0"/>
      <w:divBdr>
        <w:top w:val="none" w:sz="0" w:space="0" w:color="auto"/>
        <w:left w:val="none" w:sz="0" w:space="0" w:color="auto"/>
        <w:bottom w:val="none" w:sz="0" w:space="0" w:color="auto"/>
        <w:right w:val="none" w:sz="0" w:space="0" w:color="auto"/>
      </w:divBdr>
    </w:div>
    <w:div w:id="1751581845">
      <w:bodyDiv w:val="1"/>
      <w:marLeft w:val="0"/>
      <w:marRight w:val="0"/>
      <w:marTop w:val="0"/>
      <w:marBottom w:val="0"/>
      <w:divBdr>
        <w:top w:val="none" w:sz="0" w:space="0" w:color="auto"/>
        <w:left w:val="none" w:sz="0" w:space="0" w:color="auto"/>
        <w:bottom w:val="none" w:sz="0" w:space="0" w:color="auto"/>
        <w:right w:val="none" w:sz="0" w:space="0" w:color="auto"/>
      </w:divBdr>
    </w:div>
    <w:div w:id="1833372855">
      <w:bodyDiv w:val="1"/>
      <w:marLeft w:val="0"/>
      <w:marRight w:val="0"/>
      <w:marTop w:val="0"/>
      <w:marBottom w:val="0"/>
      <w:divBdr>
        <w:top w:val="none" w:sz="0" w:space="0" w:color="auto"/>
        <w:left w:val="none" w:sz="0" w:space="0" w:color="auto"/>
        <w:bottom w:val="none" w:sz="0" w:space="0" w:color="auto"/>
        <w:right w:val="none" w:sz="0" w:space="0" w:color="auto"/>
      </w:divBdr>
    </w:div>
    <w:div w:id="209154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oconductor.org/"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t:lpstr>
    </vt:vector>
  </TitlesOfParts>
  <Company>FHCRC</Company>
  <LinksUpToDate>false</LinksUpToDate>
  <CharactersWithSpaces>6337</CharactersWithSpaces>
  <SharedDoc>false</SharedDoc>
  <HLinks>
    <vt:vector size="6" baseType="variant">
      <vt:variant>
        <vt:i4>5374031</vt:i4>
      </vt:variant>
      <vt:variant>
        <vt:i4>3</vt:i4>
      </vt:variant>
      <vt:variant>
        <vt:i4>0</vt:i4>
      </vt:variant>
      <vt:variant>
        <vt:i4>5</vt:i4>
      </vt:variant>
      <vt:variant>
        <vt:lpwstr>http://www.bioconductor.org/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Valerie Morris</dc:creator>
  <cp:lastModifiedBy>Training</cp:lastModifiedBy>
  <cp:revision>4</cp:revision>
  <cp:lastPrinted>2013-07-16T22:00:00Z</cp:lastPrinted>
  <dcterms:created xsi:type="dcterms:W3CDTF">2013-08-26T20:56:00Z</dcterms:created>
  <dcterms:modified xsi:type="dcterms:W3CDTF">2013-08-27T18:39:00Z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154</vt:lpwstr>
  </property>
  <property fmtid="{D5CDD505-2E9C-101B-9397-08002B2CF9AE}" pid="3" name="WnCSubscriberId">
    <vt:lpwstr>4221</vt:lpwstr>
  </property>
  <property fmtid="{D5CDD505-2E9C-101B-9397-08002B2CF9AE}" pid="4" name="WnCOutputStyleId">
    <vt:lpwstr>1280</vt:lpwstr>
  </property>
  <property fmtid="{D5CDD505-2E9C-101B-9397-08002B2CF9AE}" pid="5" name="RWProductId">
    <vt:lpwstr>WnC</vt:lpwstr>
  </property>
  <property fmtid="{D5CDD505-2E9C-101B-9397-08002B2CF9AE}" pid="6" name="WnCUser">
    <vt:lpwstr>cmlchapter_4221</vt:lpwstr>
  </property>
  <property fmtid="{D5CDD505-2E9C-101B-9397-08002B2CF9AE}" pid="7" name="WnC4Folder">
    <vt:lpwstr>Documents///Supplemental_Materials_final(1)</vt:lpwstr>
  </property>
</Properties>
</file>