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70" w:rsidRDefault="00464D70" w:rsidP="00464D70">
      <w:pPr>
        <w:pStyle w:val="Heading3"/>
        <w:spacing w:line="276" w:lineRule="auto"/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</w:pPr>
      <w:r w:rsidRPr="00D47A19">
        <w:rPr>
          <w:rFonts w:ascii="Times New Roman" w:hAnsi="Times New Roman"/>
          <w:bCs/>
          <w:color w:val="auto"/>
          <w:sz w:val="22"/>
          <w:szCs w:val="22"/>
          <w:lang w:val="en-GB"/>
        </w:rPr>
        <w:t>Table S1</w:t>
      </w:r>
      <w:r>
        <w:rPr>
          <w:rFonts w:ascii="Times New Roman" w:hAnsi="Times New Roman"/>
          <w:bCs/>
          <w:color w:val="auto"/>
          <w:sz w:val="22"/>
          <w:szCs w:val="22"/>
          <w:lang w:val="en-GB"/>
        </w:rPr>
        <w:t>8</w:t>
      </w:r>
      <w:r w:rsidRPr="00D47A19">
        <w:rPr>
          <w:rFonts w:ascii="Times New Roman" w:hAnsi="Times New Roman"/>
          <w:bCs/>
          <w:color w:val="auto"/>
          <w:sz w:val="22"/>
          <w:szCs w:val="22"/>
          <w:lang w:val="en-GB"/>
        </w:rPr>
        <w:t xml:space="preserve">: Traits rendering </w:t>
      </w:r>
      <w:r>
        <w:rPr>
          <w:rFonts w:ascii="Times New Roman" w:hAnsi="Times New Roman"/>
          <w:bCs/>
          <w:color w:val="auto"/>
          <w:sz w:val="22"/>
          <w:szCs w:val="22"/>
          <w:u w:val="single"/>
          <w:lang w:val="en-GB"/>
        </w:rPr>
        <w:t>coral</w:t>
      </w:r>
      <w:r w:rsidRPr="00D47A19">
        <w:rPr>
          <w:rFonts w:ascii="Times New Roman" w:hAnsi="Times New Roman"/>
          <w:bCs/>
          <w:color w:val="auto"/>
          <w:sz w:val="22"/>
          <w:szCs w:val="22"/>
          <w:lang w:val="en-GB"/>
        </w:rPr>
        <w:t xml:space="preserve"> species as of ‘high’ climate change vulnerability, and the number of species qualifying under these categories and as unknown</w:t>
      </w:r>
      <w:r>
        <w:rPr>
          <w:rFonts w:ascii="Times New Roman" w:hAnsi="Times New Roman"/>
          <w:bCs/>
          <w:color w:val="auto"/>
          <w:sz w:val="22"/>
          <w:szCs w:val="22"/>
          <w:lang w:val="en-GB"/>
        </w:rPr>
        <w:t xml:space="preserve">, </w:t>
      </w:r>
      <w:r w:rsidRPr="00D47A19">
        <w:rPr>
          <w:rFonts w:ascii="Times New Roman" w:hAnsi="Times New Roman"/>
          <w:bCs/>
          <w:color w:val="auto"/>
          <w:sz w:val="22"/>
          <w:szCs w:val="22"/>
          <w:lang w:val="en-GB"/>
        </w:rPr>
        <w:t>according to three trait threshold scenarios</w:t>
      </w:r>
      <w:r w:rsidRPr="00D47A19"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>, namely more lenient</w:t>
      </w:r>
      <w:r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 xml:space="preserve"> thresholds</w:t>
      </w:r>
      <w:r w:rsidRPr="00D47A19"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>, the original or moderate threshold</w:t>
      </w:r>
      <w:r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>s</w:t>
      </w:r>
      <w:r w:rsidRPr="00D47A19"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 xml:space="preserve"> (</w:t>
      </w:r>
      <w:r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>i.e.,</w:t>
      </w:r>
      <w:r w:rsidRPr="006632E4"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 xml:space="preserve"> as used for the results presented in Table 2 and Figure 2) </w:t>
      </w:r>
      <w:r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 xml:space="preserve">and </w:t>
      </w:r>
      <w:r w:rsidRPr="00D47A19"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>stricter threshold</w:t>
      </w:r>
      <w:r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>s</w:t>
      </w:r>
      <w:r w:rsidRPr="00D47A19"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 xml:space="preserve">. Thresholds for traits indicated with a </w:t>
      </w:r>
      <w:r w:rsidRPr="003B6431">
        <w:rPr>
          <w:rFonts w:ascii="Times New Roman" w:hAnsi="Times New Roman"/>
          <w:b w:val="0"/>
          <w:bCs/>
          <w:sz w:val="22"/>
          <w:szCs w:val="22"/>
          <w:lang w:val="en-GB"/>
        </w:rPr>
        <w:t>(P)</w:t>
      </w:r>
      <w:r w:rsidRPr="00D47A19"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 xml:space="preserve"> </w:t>
      </w:r>
      <w:r w:rsidRPr="003B6431">
        <w:rPr>
          <w:rFonts w:ascii="Times New Roman" w:hAnsi="Times New Roman"/>
          <w:b w:val="0"/>
          <w:bCs/>
          <w:sz w:val="22"/>
          <w:szCs w:val="22"/>
          <w:lang w:val="en-GB"/>
        </w:rPr>
        <w:t>and highlighted in blue were selected based on arbitrary percentage thresholds (35%, 25% and 15%)</w:t>
      </w:r>
      <w:r w:rsidRPr="00D47A19"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 xml:space="preserve"> while those indicated by an </w:t>
      </w:r>
      <w:r w:rsidRPr="00D47A19">
        <w:rPr>
          <w:rFonts w:ascii="Times New Roman" w:hAnsi="Times New Roman"/>
          <w:b w:val="0"/>
          <w:bCs/>
          <w:color w:val="00B050"/>
          <w:sz w:val="22"/>
          <w:szCs w:val="22"/>
          <w:lang w:val="en-GB"/>
        </w:rPr>
        <w:t>(E)</w:t>
      </w:r>
      <w:r w:rsidRPr="00D47A19"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 xml:space="preserve"> </w:t>
      </w:r>
      <w:r w:rsidRPr="00D47A19">
        <w:rPr>
          <w:rFonts w:ascii="Times New Roman" w:hAnsi="Times New Roman"/>
          <w:b w:val="0"/>
          <w:bCs/>
          <w:color w:val="00B050"/>
          <w:sz w:val="22"/>
          <w:szCs w:val="22"/>
          <w:lang w:val="en-GB"/>
        </w:rPr>
        <w:t>and highlighted in green were selected based on experts’ judgement</w:t>
      </w:r>
      <w:r>
        <w:rPr>
          <w:rFonts w:ascii="Times New Roman" w:hAnsi="Times New Roman"/>
          <w:b w:val="0"/>
          <w:bCs/>
          <w:color w:val="00B050"/>
          <w:sz w:val="22"/>
          <w:szCs w:val="22"/>
          <w:lang w:val="en-GB"/>
        </w:rPr>
        <w:t>s</w:t>
      </w:r>
      <w:r w:rsidRPr="00D47A19"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>. All results shown are based on an optimistic scenario for 2050 under the A1B emission scenario.</w:t>
      </w:r>
    </w:p>
    <w:p w:rsidR="00464D70" w:rsidRPr="00464D70" w:rsidRDefault="00464D70" w:rsidP="00464D70">
      <w:pPr>
        <w:rPr>
          <w:lang w:eastAsia="x-none"/>
        </w:rPr>
      </w:pPr>
      <w:bookmarkStart w:id="0" w:name="_GoBack"/>
      <w:bookmarkEnd w:id="0"/>
    </w:p>
    <w:tbl>
      <w:tblPr>
        <w:tblW w:w="92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106"/>
        <w:gridCol w:w="1253"/>
        <w:gridCol w:w="1095"/>
        <w:gridCol w:w="640"/>
        <w:gridCol w:w="1738"/>
        <w:gridCol w:w="544"/>
        <w:gridCol w:w="1523"/>
        <w:gridCol w:w="544"/>
        <w:gridCol w:w="799"/>
      </w:tblGrid>
      <w:tr w:rsidR="00464D70" w:rsidRPr="00E34C83" w:rsidTr="00F25598">
        <w:trPr>
          <w:trHeight w:val="525"/>
        </w:trPr>
        <w:tc>
          <w:tcPr>
            <w:tcW w:w="1106" w:type="dxa"/>
            <w:vMerge w:val="restart"/>
            <w:shd w:val="clear" w:color="auto" w:fill="FFFFFF"/>
          </w:tcPr>
          <w:p w:rsidR="00464D70" w:rsidRPr="00464D70" w:rsidRDefault="00464D70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64D70" w:rsidRPr="00464D70" w:rsidRDefault="00464D70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64D70">
              <w:rPr>
                <w:b/>
                <w:bCs/>
                <w:sz w:val="20"/>
                <w:szCs w:val="20"/>
                <w:lang w:val="en-US"/>
              </w:rPr>
              <w:t>Trait Group</w:t>
            </w:r>
          </w:p>
        </w:tc>
        <w:tc>
          <w:tcPr>
            <w:tcW w:w="1253" w:type="dxa"/>
            <w:shd w:val="clear" w:color="auto" w:fill="FFFFFF"/>
          </w:tcPr>
          <w:p w:rsidR="00464D70" w:rsidRPr="00E34C83" w:rsidRDefault="00464D70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34C83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35" w:type="dxa"/>
            <w:gridSpan w:val="2"/>
            <w:shd w:val="clear" w:color="auto" w:fill="FFFFFF"/>
          </w:tcPr>
          <w:p w:rsidR="00464D70" w:rsidRPr="00E34C83" w:rsidRDefault="00464D70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34C83">
              <w:rPr>
                <w:b/>
                <w:bCs/>
                <w:sz w:val="20"/>
                <w:szCs w:val="20"/>
                <w:lang w:val="en-US"/>
              </w:rPr>
              <w:t>More Lenient Estimate</w:t>
            </w:r>
          </w:p>
        </w:tc>
        <w:tc>
          <w:tcPr>
            <w:tcW w:w="2282" w:type="dxa"/>
            <w:gridSpan w:val="2"/>
            <w:shd w:val="clear" w:color="auto" w:fill="FFFFFF"/>
          </w:tcPr>
          <w:p w:rsidR="00464D70" w:rsidRPr="00E34C83" w:rsidRDefault="00464D70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34C83">
              <w:rPr>
                <w:b/>
                <w:bCs/>
                <w:sz w:val="20"/>
                <w:szCs w:val="20"/>
                <w:lang w:val="en-US"/>
              </w:rPr>
              <w:t>Original Estimate</w:t>
            </w:r>
          </w:p>
        </w:tc>
        <w:tc>
          <w:tcPr>
            <w:tcW w:w="2067" w:type="dxa"/>
            <w:gridSpan w:val="2"/>
            <w:shd w:val="clear" w:color="auto" w:fill="FFFFFF"/>
          </w:tcPr>
          <w:p w:rsidR="00464D70" w:rsidRPr="00E34C83" w:rsidRDefault="00464D70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34C83">
              <w:rPr>
                <w:b/>
                <w:bCs/>
                <w:sz w:val="20"/>
                <w:szCs w:val="20"/>
                <w:lang w:val="en-US"/>
              </w:rPr>
              <w:t>Stricter Estimate</w:t>
            </w:r>
          </w:p>
        </w:tc>
        <w:tc>
          <w:tcPr>
            <w:tcW w:w="799" w:type="dxa"/>
            <w:shd w:val="clear" w:color="auto" w:fill="FFFFFF"/>
          </w:tcPr>
          <w:p w:rsidR="00464D70" w:rsidRPr="00E34C83" w:rsidRDefault="00464D70" w:rsidP="00F25598">
            <w:pPr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Un-known</w:t>
            </w:r>
          </w:p>
        </w:tc>
      </w:tr>
      <w:tr w:rsidR="00464D70" w:rsidRPr="00E34C83" w:rsidTr="00F25598">
        <w:trPr>
          <w:trHeight w:val="525"/>
        </w:trPr>
        <w:tc>
          <w:tcPr>
            <w:tcW w:w="1106" w:type="dxa"/>
            <w:vMerge/>
            <w:shd w:val="clear" w:color="auto" w:fill="FFFFFF"/>
          </w:tcPr>
          <w:p w:rsidR="00464D70" w:rsidRPr="00464D70" w:rsidRDefault="00464D70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FFFFFF"/>
          </w:tcPr>
          <w:p w:rsidR="00464D70" w:rsidRPr="00E34C83" w:rsidRDefault="00464D70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34C83">
              <w:rPr>
                <w:b/>
                <w:bCs/>
                <w:sz w:val="20"/>
                <w:szCs w:val="20"/>
                <w:lang w:val="en-US"/>
              </w:rPr>
              <w:t>Trait</w:t>
            </w:r>
          </w:p>
        </w:tc>
        <w:tc>
          <w:tcPr>
            <w:tcW w:w="1095" w:type="dxa"/>
            <w:shd w:val="clear" w:color="auto" w:fill="FFFFFF"/>
            <w:noWrap/>
          </w:tcPr>
          <w:p w:rsidR="00464D70" w:rsidRPr="00E34C83" w:rsidRDefault="00464D70" w:rsidP="00F25598">
            <w:pPr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Threshold</w:t>
            </w:r>
          </w:p>
        </w:tc>
        <w:tc>
          <w:tcPr>
            <w:tcW w:w="640" w:type="dxa"/>
            <w:shd w:val="clear" w:color="auto" w:fill="FFFFFF"/>
          </w:tcPr>
          <w:p w:rsidR="00464D70" w:rsidRPr="00E34C83" w:rsidRDefault="00464D70" w:rsidP="00F25598">
            <w:pPr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No. spp.</w:t>
            </w:r>
          </w:p>
        </w:tc>
        <w:tc>
          <w:tcPr>
            <w:tcW w:w="1738" w:type="dxa"/>
            <w:shd w:val="clear" w:color="auto" w:fill="FFFFFF"/>
            <w:noWrap/>
          </w:tcPr>
          <w:p w:rsidR="00464D70" w:rsidRPr="00E34C83" w:rsidRDefault="00464D70" w:rsidP="00F25598">
            <w:pPr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Threshold</w:t>
            </w:r>
          </w:p>
        </w:tc>
        <w:tc>
          <w:tcPr>
            <w:tcW w:w="544" w:type="dxa"/>
            <w:shd w:val="clear" w:color="auto" w:fill="FFFFFF"/>
          </w:tcPr>
          <w:p w:rsidR="00464D70" w:rsidRPr="00E34C83" w:rsidRDefault="00464D70" w:rsidP="00F25598">
            <w:pPr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No. spp.</w:t>
            </w:r>
          </w:p>
        </w:tc>
        <w:tc>
          <w:tcPr>
            <w:tcW w:w="1523" w:type="dxa"/>
            <w:shd w:val="clear" w:color="auto" w:fill="FFFFFF"/>
            <w:noWrap/>
          </w:tcPr>
          <w:p w:rsidR="00464D70" w:rsidRPr="00E34C83" w:rsidRDefault="00464D70" w:rsidP="00F25598">
            <w:pPr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Threshold</w:t>
            </w:r>
          </w:p>
        </w:tc>
        <w:tc>
          <w:tcPr>
            <w:tcW w:w="544" w:type="dxa"/>
            <w:shd w:val="clear" w:color="auto" w:fill="FFFFFF"/>
          </w:tcPr>
          <w:p w:rsidR="00464D70" w:rsidRPr="00E34C83" w:rsidRDefault="00464D70" w:rsidP="00F25598">
            <w:pPr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No. spp.</w:t>
            </w:r>
          </w:p>
        </w:tc>
        <w:tc>
          <w:tcPr>
            <w:tcW w:w="799" w:type="dxa"/>
            <w:shd w:val="clear" w:color="auto" w:fill="FFFFFF"/>
          </w:tcPr>
          <w:p w:rsidR="00464D70" w:rsidRPr="00E34C83" w:rsidRDefault="00464D70" w:rsidP="00F25598">
            <w:pPr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No. spp.</w:t>
            </w:r>
          </w:p>
        </w:tc>
      </w:tr>
      <w:tr w:rsidR="00464D70" w:rsidRPr="00E34C83" w:rsidTr="00F25598">
        <w:trPr>
          <w:trHeight w:val="270"/>
        </w:trPr>
        <w:tc>
          <w:tcPr>
            <w:tcW w:w="9242" w:type="dxa"/>
            <w:gridSpan w:val="9"/>
            <w:shd w:val="clear" w:color="auto" w:fill="FFFFFF"/>
          </w:tcPr>
          <w:p w:rsidR="00464D70" w:rsidRPr="00464D70" w:rsidRDefault="00464D70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64D70">
              <w:rPr>
                <w:b/>
                <w:bCs/>
                <w:sz w:val="20"/>
                <w:szCs w:val="20"/>
                <w:lang w:val="en-US"/>
              </w:rPr>
              <w:t>Sensitivity</w:t>
            </w:r>
          </w:p>
        </w:tc>
      </w:tr>
      <w:tr w:rsidR="00464D70" w:rsidRPr="00E34C83" w:rsidTr="00F25598">
        <w:trPr>
          <w:trHeight w:val="780"/>
        </w:trPr>
        <w:tc>
          <w:tcPr>
            <w:tcW w:w="1106" w:type="dxa"/>
            <w:vMerge w:val="restart"/>
            <w:shd w:val="clear" w:color="auto" w:fill="FFFFFF"/>
          </w:tcPr>
          <w:p w:rsidR="00464D70" w:rsidRPr="00464D70" w:rsidRDefault="00464D70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64D70">
              <w:rPr>
                <w:b/>
                <w:bCs/>
                <w:sz w:val="20"/>
                <w:szCs w:val="20"/>
                <w:lang w:val="en-US"/>
              </w:rPr>
              <w:t>A. Special-</w:t>
            </w:r>
            <w:proofErr w:type="spellStart"/>
            <w:r w:rsidRPr="00464D70">
              <w:rPr>
                <w:b/>
                <w:bCs/>
                <w:sz w:val="20"/>
                <w:szCs w:val="20"/>
                <w:lang w:val="en-US"/>
              </w:rPr>
              <w:t>ised</w:t>
            </w:r>
            <w:proofErr w:type="spellEnd"/>
            <w:r w:rsidRPr="00464D70">
              <w:rPr>
                <w:b/>
                <w:bCs/>
                <w:sz w:val="20"/>
                <w:szCs w:val="20"/>
                <w:lang w:val="en-US"/>
              </w:rPr>
              <w:t xml:space="preserve"> habitat and/or micro-habitat </w:t>
            </w:r>
          </w:p>
        </w:tc>
        <w:tc>
          <w:tcPr>
            <w:tcW w:w="1253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Habitat specialist 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>(P)</w:t>
            </w:r>
          </w:p>
        </w:tc>
        <w:tc>
          <w:tcPr>
            <w:tcW w:w="1095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Occurs in &lt;=16 habitats</w:t>
            </w:r>
          </w:p>
        </w:tc>
        <w:tc>
          <w:tcPr>
            <w:tcW w:w="640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270</w:t>
            </w:r>
          </w:p>
        </w:tc>
        <w:tc>
          <w:tcPr>
            <w:tcW w:w="1738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Occurs in &lt;=13 habitats</w:t>
            </w:r>
          </w:p>
        </w:tc>
        <w:tc>
          <w:tcPr>
            <w:tcW w:w="544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192</w:t>
            </w:r>
          </w:p>
        </w:tc>
        <w:tc>
          <w:tcPr>
            <w:tcW w:w="1523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Occurs in &lt;=10 habitats</w:t>
            </w:r>
          </w:p>
        </w:tc>
        <w:tc>
          <w:tcPr>
            <w:tcW w:w="544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113</w:t>
            </w:r>
          </w:p>
        </w:tc>
        <w:tc>
          <w:tcPr>
            <w:tcW w:w="799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0</w:t>
            </w:r>
          </w:p>
        </w:tc>
      </w:tr>
      <w:tr w:rsidR="00464D70" w:rsidRPr="00E34C83" w:rsidTr="00F25598">
        <w:trPr>
          <w:trHeight w:val="855"/>
        </w:trPr>
        <w:tc>
          <w:tcPr>
            <w:tcW w:w="1106" w:type="dxa"/>
            <w:vMerge/>
            <w:shd w:val="clear" w:color="auto" w:fill="FFFFFF"/>
          </w:tcPr>
          <w:p w:rsidR="00464D70" w:rsidRPr="00464D70" w:rsidRDefault="00464D70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Microhabitat dependence 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>(P)</w:t>
            </w:r>
          </w:p>
        </w:tc>
        <w:tc>
          <w:tcPr>
            <w:tcW w:w="1095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Depth range &lt;= 16m</w:t>
            </w:r>
          </w:p>
        </w:tc>
        <w:tc>
          <w:tcPr>
            <w:tcW w:w="640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261</w:t>
            </w:r>
          </w:p>
        </w:tc>
        <w:tc>
          <w:tcPr>
            <w:tcW w:w="1738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Depth range &lt;= 14m</w:t>
            </w:r>
          </w:p>
        </w:tc>
        <w:tc>
          <w:tcPr>
            <w:tcW w:w="544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192</w:t>
            </w:r>
          </w:p>
        </w:tc>
        <w:tc>
          <w:tcPr>
            <w:tcW w:w="1523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Depth range &lt;= 11m</w:t>
            </w:r>
          </w:p>
        </w:tc>
        <w:tc>
          <w:tcPr>
            <w:tcW w:w="544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108</w:t>
            </w:r>
          </w:p>
        </w:tc>
        <w:tc>
          <w:tcPr>
            <w:tcW w:w="799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35</w:t>
            </w:r>
          </w:p>
        </w:tc>
      </w:tr>
      <w:tr w:rsidR="00464D70" w:rsidRPr="00E34C83" w:rsidTr="00F25598">
        <w:trPr>
          <w:trHeight w:val="1350"/>
        </w:trPr>
        <w:tc>
          <w:tcPr>
            <w:tcW w:w="1106" w:type="dxa"/>
            <w:vMerge w:val="restart"/>
            <w:shd w:val="clear" w:color="auto" w:fill="FFFFFF"/>
          </w:tcPr>
          <w:p w:rsidR="00464D70" w:rsidRPr="00464D70" w:rsidRDefault="00464D70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64D70">
              <w:rPr>
                <w:b/>
                <w:bCs/>
                <w:sz w:val="20"/>
                <w:szCs w:val="20"/>
                <w:lang w:val="en-US"/>
              </w:rPr>
              <w:t xml:space="preserve">B. Narrow environ-mental tolerances or thresholds </w:t>
            </w:r>
          </w:p>
        </w:tc>
        <w:tc>
          <w:tcPr>
            <w:tcW w:w="1253" w:type="dxa"/>
            <w:shd w:val="clear" w:color="auto" w:fill="FFFFFF"/>
          </w:tcPr>
          <w:p w:rsidR="00464D70" w:rsidRPr="00E34C83" w:rsidRDefault="00464D70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Narrow temperature tolerance - larvae</w:t>
            </w:r>
          </w:p>
        </w:tc>
        <w:tc>
          <w:tcPr>
            <w:tcW w:w="1095" w:type="dxa"/>
            <w:shd w:val="clear" w:color="auto" w:fill="FFFFFF"/>
          </w:tcPr>
          <w:p w:rsidR="00464D70" w:rsidRPr="00E34C83" w:rsidRDefault="00464D70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640" w:type="dxa"/>
            <w:shd w:val="clear" w:color="auto" w:fill="FFFFFF"/>
            <w:noWrap/>
          </w:tcPr>
          <w:p w:rsidR="00464D70" w:rsidRPr="00E34C83" w:rsidRDefault="00464D70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1738" w:type="dxa"/>
            <w:shd w:val="clear" w:color="auto" w:fill="FFFFFF"/>
          </w:tcPr>
          <w:p w:rsidR="00464D70" w:rsidRPr="00E34C83" w:rsidRDefault="00464D70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Broadcast spawning and/or brooding are the only known method(s) of reproduction</w:t>
            </w:r>
          </w:p>
        </w:tc>
        <w:tc>
          <w:tcPr>
            <w:tcW w:w="544" w:type="dxa"/>
            <w:shd w:val="clear" w:color="auto" w:fill="FFFFFF"/>
            <w:noWrap/>
          </w:tcPr>
          <w:p w:rsidR="00464D70" w:rsidRPr="00E34C83" w:rsidRDefault="00464D70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1523" w:type="dxa"/>
            <w:shd w:val="clear" w:color="auto" w:fill="FFFFFF"/>
          </w:tcPr>
          <w:p w:rsidR="00464D70" w:rsidRPr="00E34C83" w:rsidRDefault="00464D70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544" w:type="dxa"/>
            <w:shd w:val="clear" w:color="auto" w:fill="FFFFFF"/>
            <w:noWrap/>
          </w:tcPr>
          <w:p w:rsidR="00464D70" w:rsidRPr="00E34C83" w:rsidRDefault="00464D70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799" w:type="dxa"/>
            <w:shd w:val="clear" w:color="auto" w:fill="FFFFFF"/>
            <w:noWrap/>
          </w:tcPr>
          <w:p w:rsidR="00464D70" w:rsidRPr="00E34C83" w:rsidRDefault="00464D70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2</w:t>
            </w:r>
          </w:p>
        </w:tc>
      </w:tr>
      <w:tr w:rsidR="00464D70" w:rsidRPr="00E34C83" w:rsidTr="00F25598">
        <w:trPr>
          <w:trHeight w:val="1290"/>
        </w:trPr>
        <w:tc>
          <w:tcPr>
            <w:tcW w:w="1106" w:type="dxa"/>
            <w:vMerge/>
            <w:shd w:val="clear" w:color="auto" w:fill="FFFFFF"/>
          </w:tcPr>
          <w:p w:rsidR="00464D70" w:rsidRPr="00464D70" w:rsidRDefault="00464D70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FFFFFF"/>
          </w:tcPr>
          <w:p w:rsidR="00464D70" w:rsidRPr="00E34C83" w:rsidRDefault="00464D70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 xml:space="preserve">Evidence of </w:t>
            </w:r>
            <w:proofErr w:type="spellStart"/>
            <w:r w:rsidRPr="00E34C83">
              <w:rPr>
                <w:sz w:val="20"/>
                <w:szCs w:val="20"/>
                <w:lang w:val="en-US"/>
              </w:rPr>
              <w:t>exceedance</w:t>
            </w:r>
            <w:proofErr w:type="spellEnd"/>
            <w:r w:rsidRPr="00E34C83">
              <w:rPr>
                <w:sz w:val="20"/>
                <w:szCs w:val="20"/>
                <w:lang w:val="en-US"/>
              </w:rPr>
              <w:t xml:space="preserve"> of tolerance - adults</w:t>
            </w:r>
          </w:p>
        </w:tc>
        <w:tc>
          <w:tcPr>
            <w:tcW w:w="1095" w:type="dxa"/>
            <w:shd w:val="clear" w:color="auto" w:fill="FFFFFF"/>
          </w:tcPr>
          <w:p w:rsidR="00464D70" w:rsidRPr="00E34C83" w:rsidRDefault="00464D70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640" w:type="dxa"/>
            <w:shd w:val="clear" w:color="auto" w:fill="FFFFFF"/>
            <w:noWrap/>
          </w:tcPr>
          <w:p w:rsidR="00464D70" w:rsidRPr="00E34C83" w:rsidRDefault="00464D70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322</w:t>
            </w:r>
          </w:p>
        </w:tc>
        <w:tc>
          <w:tcPr>
            <w:tcW w:w="1738" w:type="dxa"/>
            <w:shd w:val="clear" w:color="auto" w:fill="FFFFFF"/>
          </w:tcPr>
          <w:p w:rsidR="00464D70" w:rsidRPr="00E34C83" w:rsidRDefault="00464D70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Evidence of past high temperature mortality of &gt; 30% of local population on a reef or reef tract</w:t>
            </w:r>
          </w:p>
        </w:tc>
        <w:tc>
          <w:tcPr>
            <w:tcW w:w="544" w:type="dxa"/>
            <w:shd w:val="clear" w:color="auto" w:fill="FFFFFF"/>
            <w:noWrap/>
          </w:tcPr>
          <w:p w:rsidR="00464D70" w:rsidRPr="00E34C83" w:rsidRDefault="00464D70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322</w:t>
            </w:r>
          </w:p>
        </w:tc>
        <w:tc>
          <w:tcPr>
            <w:tcW w:w="1523" w:type="dxa"/>
            <w:shd w:val="clear" w:color="auto" w:fill="FFFFFF"/>
          </w:tcPr>
          <w:p w:rsidR="00464D70" w:rsidRPr="00E34C83" w:rsidRDefault="00464D70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 xml:space="preserve">NA </w:t>
            </w:r>
          </w:p>
        </w:tc>
        <w:tc>
          <w:tcPr>
            <w:tcW w:w="544" w:type="dxa"/>
            <w:shd w:val="clear" w:color="auto" w:fill="FFFFFF"/>
            <w:noWrap/>
          </w:tcPr>
          <w:p w:rsidR="00464D70" w:rsidRPr="00E34C83" w:rsidRDefault="00464D70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322</w:t>
            </w:r>
          </w:p>
        </w:tc>
        <w:tc>
          <w:tcPr>
            <w:tcW w:w="799" w:type="dxa"/>
            <w:shd w:val="clear" w:color="auto" w:fill="FFFFFF"/>
            <w:noWrap/>
          </w:tcPr>
          <w:p w:rsidR="00464D70" w:rsidRPr="00E34C83" w:rsidRDefault="00464D70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0</w:t>
            </w:r>
          </w:p>
        </w:tc>
      </w:tr>
      <w:tr w:rsidR="00464D70" w:rsidRPr="00E34C83" w:rsidTr="00F25598">
        <w:trPr>
          <w:trHeight w:val="966"/>
        </w:trPr>
        <w:tc>
          <w:tcPr>
            <w:tcW w:w="1106" w:type="dxa"/>
            <w:vMerge/>
            <w:shd w:val="clear" w:color="auto" w:fill="FFFFFF"/>
          </w:tcPr>
          <w:p w:rsidR="00464D70" w:rsidRPr="00464D70" w:rsidRDefault="00464D70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Lower buffering from depth </w:t>
            </w:r>
            <w:r w:rsidRPr="00AE0E13">
              <w:rPr>
                <w:b/>
                <w:color w:val="0070C0"/>
                <w:sz w:val="20"/>
                <w:szCs w:val="20"/>
                <w:lang w:val="en-US"/>
              </w:rPr>
              <w:t>(P)</w:t>
            </w:r>
          </w:p>
        </w:tc>
        <w:tc>
          <w:tcPr>
            <w:tcW w:w="1095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Maximum depth &lt; 21m</w:t>
            </w:r>
          </w:p>
        </w:tc>
        <w:tc>
          <w:tcPr>
            <w:tcW w:w="640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393</w:t>
            </w:r>
          </w:p>
        </w:tc>
        <w:tc>
          <w:tcPr>
            <w:tcW w:w="1738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Maximum depth &lt; 20m</w:t>
            </w:r>
          </w:p>
        </w:tc>
        <w:tc>
          <w:tcPr>
            <w:tcW w:w="544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188</w:t>
            </w:r>
          </w:p>
        </w:tc>
        <w:tc>
          <w:tcPr>
            <w:tcW w:w="1523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Maximum depth &lt; 15 m</w:t>
            </w:r>
          </w:p>
        </w:tc>
        <w:tc>
          <w:tcPr>
            <w:tcW w:w="544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76</w:t>
            </w:r>
          </w:p>
        </w:tc>
        <w:tc>
          <w:tcPr>
            <w:tcW w:w="799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31</w:t>
            </w:r>
          </w:p>
        </w:tc>
      </w:tr>
      <w:tr w:rsidR="00464D70" w:rsidRPr="00E34C83" w:rsidTr="00F25598">
        <w:trPr>
          <w:trHeight w:val="3062"/>
        </w:trPr>
        <w:tc>
          <w:tcPr>
            <w:tcW w:w="1106" w:type="dxa"/>
            <w:shd w:val="clear" w:color="auto" w:fill="FFFFFF"/>
          </w:tcPr>
          <w:p w:rsidR="00464D70" w:rsidRPr="00464D70" w:rsidRDefault="00464D70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64D70">
              <w:rPr>
                <w:b/>
                <w:bCs/>
                <w:sz w:val="20"/>
                <w:szCs w:val="20"/>
                <w:lang w:val="en-US"/>
              </w:rPr>
              <w:t>D. Depend-</w:t>
            </w:r>
            <w:proofErr w:type="spellStart"/>
            <w:r w:rsidRPr="00464D70">
              <w:rPr>
                <w:b/>
                <w:bCs/>
                <w:sz w:val="20"/>
                <w:szCs w:val="20"/>
                <w:lang w:val="en-US"/>
              </w:rPr>
              <w:t>ence</w:t>
            </w:r>
            <w:proofErr w:type="spellEnd"/>
            <w:r w:rsidRPr="00464D70">
              <w:rPr>
                <w:b/>
                <w:bCs/>
                <w:sz w:val="20"/>
                <w:szCs w:val="20"/>
                <w:lang w:val="en-US"/>
              </w:rPr>
              <w:t xml:space="preserve"> on inter-specific inter-actions </w:t>
            </w:r>
          </w:p>
        </w:tc>
        <w:tc>
          <w:tcPr>
            <w:tcW w:w="1253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 xml:space="preserve">Disruption of symbioses with </w:t>
            </w:r>
            <w:proofErr w:type="spellStart"/>
            <w:r w:rsidRPr="00AE0E13">
              <w:rPr>
                <w:color w:val="33CC33"/>
                <w:sz w:val="20"/>
                <w:szCs w:val="20"/>
                <w:lang w:val="en-US"/>
              </w:rPr>
              <w:t>Zooxan-thellae</w:t>
            </w:r>
            <w:proofErr w:type="spellEnd"/>
            <w:r w:rsidRPr="00AE0E13">
              <w:rPr>
                <w:color w:val="33CC33"/>
                <w:sz w:val="20"/>
                <w:szCs w:val="20"/>
                <w:lang w:val="en-US"/>
              </w:rPr>
              <w:t xml:space="preserve"> algae </w:t>
            </w:r>
            <w:r w:rsidRPr="00AE0E13">
              <w:rPr>
                <w:b/>
                <w:bCs/>
                <w:color w:val="33CC33"/>
                <w:sz w:val="20"/>
                <w:szCs w:val="20"/>
                <w:lang w:val="en-US"/>
              </w:rPr>
              <w:t>(E)</w:t>
            </w:r>
          </w:p>
        </w:tc>
        <w:tc>
          <w:tcPr>
            <w:tcW w:w="1095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NA</w:t>
            </w:r>
          </w:p>
        </w:tc>
        <w:tc>
          <w:tcPr>
            <w:tcW w:w="640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738</w:t>
            </w:r>
          </w:p>
        </w:tc>
        <w:tc>
          <w:tcPr>
            <w:tcW w:w="1738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 xml:space="preserve">Obligate </w:t>
            </w:r>
            <w:proofErr w:type="spellStart"/>
            <w:r w:rsidRPr="00AE0E13">
              <w:rPr>
                <w:color w:val="33CC33"/>
                <w:sz w:val="20"/>
                <w:szCs w:val="20"/>
                <w:lang w:val="en-US"/>
              </w:rPr>
              <w:t>Zooxanthellae</w:t>
            </w:r>
            <w:proofErr w:type="spellEnd"/>
            <w:r w:rsidRPr="00AE0E13">
              <w:rPr>
                <w:color w:val="33CC33"/>
                <w:sz w:val="20"/>
                <w:szCs w:val="20"/>
                <w:lang w:val="en-US"/>
              </w:rPr>
              <w:t xml:space="preserve"> interaction AND</w:t>
            </w:r>
            <w:r w:rsidRPr="00AE0E13">
              <w:rPr>
                <w:color w:val="33CC33"/>
                <w:sz w:val="20"/>
                <w:szCs w:val="20"/>
                <w:lang w:val="en-US"/>
              </w:rPr>
              <w:br/>
              <w:t>{(not known to have clades D, C1 or C15)  </w:t>
            </w:r>
            <w:r w:rsidRPr="00AE0E13">
              <w:rPr>
                <w:b/>
                <w:bCs/>
                <w:color w:val="33CC33"/>
                <w:sz w:val="20"/>
                <w:szCs w:val="20"/>
                <w:lang w:val="en-US"/>
              </w:rPr>
              <w:t>OR</w:t>
            </w:r>
            <w:r w:rsidRPr="00AE0E13">
              <w:rPr>
                <w:color w:val="33CC33"/>
                <w:sz w:val="20"/>
                <w:szCs w:val="20"/>
                <w:lang w:val="en-US"/>
              </w:rPr>
              <w:br/>
              <w:t xml:space="preserve"> (known to have D, C1 or C15 but not known to 'shuffle' </w:t>
            </w:r>
            <w:proofErr w:type="spellStart"/>
            <w:r w:rsidRPr="00AE0E13">
              <w:rPr>
                <w:color w:val="33CC33"/>
                <w:sz w:val="20"/>
                <w:szCs w:val="20"/>
                <w:lang w:val="en-US"/>
              </w:rPr>
              <w:t>Zooxanthellae</w:t>
            </w:r>
            <w:proofErr w:type="spellEnd"/>
            <w:r w:rsidRPr="00AE0E13">
              <w:rPr>
                <w:color w:val="33CC33"/>
                <w:sz w:val="20"/>
                <w:szCs w:val="20"/>
                <w:lang w:val="en-US"/>
              </w:rPr>
              <w:t>)}</w:t>
            </w:r>
          </w:p>
        </w:tc>
        <w:tc>
          <w:tcPr>
            <w:tcW w:w="544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738</w:t>
            </w:r>
          </w:p>
        </w:tc>
        <w:tc>
          <w:tcPr>
            <w:tcW w:w="1523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 xml:space="preserve">Obligate </w:t>
            </w:r>
            <w:proofErr w:type="spellStart"/>
            <w:r w:rsidRPr="00AE0E13">
              <w:rPr>
                <w:color w:val="33CC33"/>
                <w:sz w:val="20"/>
                <w:szCs w:val="20"/>
                <w:lang w:val="en-US"/>
              </w:rPr>
              <w:t>Zooxanthellae</w:t>
            </w:r>
            <w:proofErr w:type="spellEnd"/>
            <w:r w:rsidRPr="00AE0E13">
              <w:rPr>
                <w:color w:val="33CC33"/>
                <w:sz w:val="20"/>
                <w:szCs w:val="20"/>
                <w:lang w:val="en-US"/>
              </w:rPr>
              <w:t xml:space="preserve"> interaction AND</w:t>
            </w:r>
            <w:r w:rsidRPr="00AE0E13">
              <w:rPr>
                <w:color w:val="33CC33"/>
                <w:sz w:val="20"/>
                <w:szCs w:val="20"/>
                <w:lang w:val="en-US"/>
              </w:rPr>
              <w:br/>
              <w:t>{(not known to have clades D, C1 or C15)  </w:t>
            </w:r>
            <w:r w:rsidRPr="00AE0E13">
              <w:rPr>
                <w:b/>
                <w:bCs/>
                <w:color w:val="33CC33"/>
                <w:sz w:val="20"/>
                <w:szCs w:val="20"/>
                <w:lang w:val="en-US"/>
              </w:rPr>
              <w:t>AND</w:t>
            </w:r>
            <w:r w:rsidRPr="00AE0E13">
              <w:rPr>
                <w:color w:val="33CC33"/>
                <w:sz w:val="20"/>
                <w:szCs w:val="20"/>
                <w:lang w:val="en-US"/>
              </w:rPr>
              <w:br/>
              <w:t xml:space="preserve"> (known to have D, C1 or C15 but not known to 'shuffle' </w:t>
            </w:r>
            <w:proofErr w:type="spellStart"/>
            <w:r w:rsidRPr="00AE0E13">
              <w:rPr>
                <w:color w:val="33CC33"/>
                <w:sz w:val="20"/>
                <w:szCs w:val="20"/>
                <w:lang w:val="en-US"/>
              </w:rPr>
              <w:t>Zooxanthellae</w:t>
            </w:r>
            <w:proofErr w:type="spellEnd"/>
            <w:r w:rsidRPr="00AE0E13">
              <w:rPr>
                <w:color w:val="33CC33"/>
                <w:sz w:val="20"/>
                <w:szCs w:val="20"/>
                <w:lang w:val="en-US"/>
              </w:rPr>
              <w:t>)}</w:t>
            </w:r>
          </w:p>
        </w:tc>
        <w:tc>
          <w:tcPr>
            <w:tcW w:w="544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585</w:t>
            </w:r>
          </w:p>
        </w:tc>
        <w:tc>
          <w:tcPr>
            <w:tcW w:w="799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1</w:t>
            </w:r>
          </w:p>
        </w:tc>
      </w:tr>
      <w:tr w:rsidR="00464D70" w:rsidRPr="00E34C83" w:rsidTr="00F25598">
        <w:trPr>
          <w:trHeight w:val="765"/>
        </w:trPr>
        <w:tc>
          <w:tcPr>
            <w:tcW w:w="1106" w:type="dxa"/>
            <w:shd w:val="clear" w:color="auto" w:fill="FFFFFF"/>
          </w:tcPr>
          <w:p w:rsidR="00464D70" w:rsidRPr="00464D70" w:rsidRDefault="00464D70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64D70">
              <w:rPr>
                <w:b/>
                <w:bCs/>
                <w:sz w:val="20"/>
                <w:szCs w:val="20"/>
                <w:lang w:val="en-US"/>
              </w:rPr>
              <w:t>E. Rarity</w:t>
            </w:r>
          </w:p>
        </w:tc>
        <w:tc>
          <w:tcPr>
            <w:tcW w:w="1253" w:type="dxa"/>
            <w:shd w:val="clear" w:color="auto" w:fill="FFFFFF"/>
          </w:tcPr>
          <w:p w:rsidR="00464D70" w:rsidRPr="00E34C83" w:rsidRDefault="00464D70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Rarity</w:t>
            </w:r>
          </w:p>
        </w:tc>
        <w:tc>
          <w:tcPr>
            <w:tcW w:w="1095" w:type="dxa"/>
            <w:shd w:val="clear" w:color="auto" w:fill="FFFFFF"/>
          </w:tcPr>
          <w:p w:rsidR="00464D70" w:rsidRPr="00E34C83" w:rsidRDefault="00464D70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640" w:type="dxa"/>
            <w:shd w:val="clear" w:color="auto" w:fill="FFFFFF"/>
            <w:noWrap/>
          </w:tcPr>
          <w:p w:rsidR="00464D70" w:rsidRPr="00E34C83" w:rsidRDefault="00464D70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196</w:t>
            </w:r>
          </w:p>
        </w:tc>
        <w:tc>
          <w:tcPr>
            <w:tcW w:w="1738" w:type="dxa"/>
            <w:shd w:val="clear" w:color="auto" w:fill="FFFFFF"/>
          </w:tcPr>
          <w:p w:rsidR="00464D70" w:rsidRPr="00E34C83" w:rsidRDefault="00464D70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 xml:space="preserve">Rare (geographically restricted or sparsely distributed) </w:t>
            </w:r>
          </w:p>
        </w:tc>
        <w:tc>
          <w:tcPr>
            <w:tcW w:w="544" w:type="dxa"/>
            <w:shd w:val="clear" w:color="auto" w:fill="FFFFFF"/>
            <w:noWrap/>
          </w:tcPr>
          <w:p w:rsidR="00464D70" w:rsidRPr="00E34C83" w:rsidRDefault="00464D70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196</w:t>
            </w:r>
          </w:p>
        </w:tc>
        <w:tc>
          <w:tcPr>
            <w:tcW w:w="1523" w:type="dxa"/>
            <w:shd w:val="clear" w:color="auto" w:fill="FFFFFF"/>
          </w:tcPr>
          <w:p w:rsidR="00464D70" w:rsidRPr="00E34C83" w:rsidRDefault="00464D70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544" w:type="dxa"/>
            <w:shd w:val="clear" w:color="auto" w:fill="FFFFFF"/>
            <w:noWrap/>
          </w:tcPr>
          <w:p w:rsidR="00464D70" w:rsidRPr="00E34C83" w:rsidRDefault="00464D70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196</w:t>
            </w:r>
          </w:p>
        </w:tc>
        <w:tc>
          <w:tcPr>
            <w:tcW w:w="799" w:type="dxa"/>
            <w:shd w:val="clear" w:color="auto" w:fill="FFFFFF"/>
            <w:noWrap/>
          </w:tcPr>
          <w:p w:rsidR="00464D70" w:rsidRPr="00E34C83" w:rsidRDefault="00464D70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6</w:t>
            </w:r>
          </w:p>
        </w:tc>
      </w:tr>
      <w:tr w:rsidR="00464D70" w:rsidRPr="00E34C83" w:rsidTr="00F25598">
        <w:trPr>
          <w:trHeight w:val="270"/>
        </w:trPr>
        <w:tc>
          <w:tcPr>
            <w:tcW w:w="9242" w:type="dxa"/>
            <w:gridSpan w:val="9"/>
            <w:shd w:val="clear" w:color="auto" w:fill="FFFFFF"/>
          </w:tcPr>
          <w:p w:rsidR="00464D70" w:rsidRPr="00464D70" w:rsidRDefault="00464D70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64D70">
              <w:rPr>
                <w:b/>
                <w:bCs/>
                <w:sz w:val="20"/>
                <w:szCs w:val="20"/>
                <w:lang w:val="en-US"/>
              </w:rPr>
              <w:lastRenderedPageBreak/>
              <w:t>Low adaptive capacity</w:t>
            </w:r>
          </w:p>
        </w:tc>
      </w:tr>
      <w:tr w:rsidR="00464D70" w:rsidRPr="00E34C83" w:rsidTr="00F25598">
        <w:trPr>
          <w:trHeight w:val="1035"/>
        </w:trPr>
        <w:tc>
          <w:tcPr>
            <w:tcW w:w="1106" w:type="dxa"/>
            <w:vMerge w:val="restart"/>
            <w:shd w:val="clear" w:color="auto" w:fill="FFFFFF"/>
          </w:tcPr>
          <w:p w:rsidR="00464D70" w:rsidRPr="00464D70" w:rsidRDefault="00464D70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64D70">
              <w:rPr>
                <w:b/>
                <w:bCs/>
                <w:sz w:val="20"/>
                <w:szCs w:val="20"/>
                <w:lang w:val="en-US"/>
              </w:rPr>
              <w:t xml:space="preserve">A. Poor </w:t>
            </w:r>
            <w:proofErr w:type="spellStart"/>
            <w:r w:rsidRPr="00464D70">
              <w:rPr>
                <w:b/>
                <w:bCs/>
                <w:sz w:val="20"/>
                <w:szCs w:val="20"/>
                <w:lang w:val="en-US"/>
              </w:rPr>
              <w:t>dispersa-bility</w:t>
            </w:r>
            <w:proofErr w:type="spellEnd"/>
          </w:p>
        </w:tc>
        <w:tc>
          <w:tcPr>
            <w:tcW w:w="1253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 xml:space="preserve">Low intrinsic dispersal capacity  </w:t>
            </w:r>
            <w:r w:rsidRPr="00AE0E13">
              <w:rPr>
                <w:b/>
                <w:bCs/>
                <w:color w:val="33CC33"/>
                <w:sz w:val="20"/>
                <w:szCs w:val="20"/>
                <w:lang w:val="en-US"/>
              </w:rPr>
              <w:t>(E)</w:t>
            </w:r>
          </w:p>
        </w:tc>
        <w:tc>
          <w:tcPr>
            <w:tcW w:w="1095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Maximum time to settlement of larvae ≤ 30 days</w:t>
            </w:r>
          </w:p>
        </w:tc>
        <w:tc>
          <w:tcPr>
            <w:tcW w:w="640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350</w:t>
            </w:r>
          </w:p>
        </w:tc>
        <w:tc>
          <w:tcPr>
            <w:tcW w:w="1738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Maximum time to settlement of larvae ≤ 14 days</w:t>
            </w:r>
          </w:p>
        </w:tc>
        <w:tc>
          <w:tcPr>
            <w:tcW w:w="544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72</w:t>
            </w:r>
          </w:p>
        </w:tc>
        <w:tc>
          <w:tcPr>
            <w:tcW w:w="1523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NA (no smaller data classes available)</w:t>
            </w:r>
          </w:p>
        </w:tc>
        <w:tc>
          <w:tcPr>
            <w:tcW w:w="544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72</w:t>
            </w:r>
          </w:p>
        </w:tc>
        <w:tc>
          <w:tcPr>
            <w:tcW w:w="799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204</w:t>
            </w:r>
          </w:p>
        </w:tc>
      </w:tr>
      <w:tr w:rsidR="00464D70" w:rsidRPr="00E34C83" w:rsidTr="00F25598">
        <w:trPr>
          <w:trHeight w:val="780"/>
        </w:trPr>
        <w:tc>
          <w:tcPr>
            <w:tcW w:w="1106" w:type="dxa"/>
            <w:vMerge/>
            <w:shd w:val="clear" w:color="auto" w:fill="FFFFFF"/>
          </w:tcPr>
          <w:p w:rsidR="00464D70" w:rsidRPr="00464D70" w:rsidRDefault="00464D70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FFFFFF"/>
          </w:tcPr>
          <w:p w:rsidR="00464D70" w:rsidRPr="00E34C83" w:rsidRDefault="00464D70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Extrinsic barriers to dispersal</w:t>
            </w:r>
          </w:p>
        </w:tc>
        <w:tc>
          <w:tcPr>
            <w:tcW w:w="1095" w:type="dxa"/>
            <w:shd w:val="clear" w:color="auto" w:fill="FFFFFF"/>
          </w:tcPr>
          <w:p w:rsidR="00464D70" w:rsidRPr="00E34C83" w:rsidRDefault="00464D70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640" w:type="dxa"/>
            <w:shd w:val="clear" w:color="auto" w:fill="FFFFFF"/>
            <w:noWrap/>
          </w:tcPr>
          <w:p w:rsidR="00464D70" w:rsidRPr="00E34C83" w:rsidRDefault="00464D70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1738" w:type="dxa"/>
            <w:shd w:val="clear" w:color="auto" w:fill="FFFFFF"/>
          </w:tcPr>
          <w:p w:rsidR="00464D70" w:rsidRPr="00E34C83" w:rsidRDefault="00464D70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Dispersal likely to be retarded by currents and/or temperature</w:t>
            </w:r>
          </w:p>
        </w:tc>
        <w:tc>
          <w:tcPr>
            <w:tcW w:w="544" w:type="dxa"/>
            <w:shd w:val="clear" w:color="auto" w:fill="FFFFFF"/>
            <w:noWrap/>
          </w:tcPr>
          <w:p w:rsidR="00464D70" w:rsidRPr="00E34C83" w:rsidRDefault="00464D70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1523" w:type="dxa"/>
            <w:shd w:val="clear" w:color="auto" w:fill="FFFFFF"/>
          </w:tcPr>
          <w:p w:rsidR="00464D70" w:rsidRPr="00E34C83" w:rsidRDefault="00464D70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544" w:type="dxa"/>
            <w:shd w:val="clear" w:color="auto" w:fill="FFFFFF"/>
            <w:noWrap/>
          </w:tcPr>
          <w:p w:rsidR="00464D70" w:rsidRPr="00E34C83" w:rsidRDefault="00464D70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799" w:type="dxa"/>
            <w:shd w:val="clear" w:color="auto" w:fill="FFFFFF"/>
            <w:noWrap/>
          </w:tcPr>
          <w:p w:rsidR="00464D70" w:rsidRPr="00E34C83" w:rsidRDefault="00464D70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11</w:t>
            </w:r>
          </w:p>
        </w:tc>
      </w:tr>
      <w:tr w:rsidR="00464D70" w:rsidRPr="00E34C83" w:rsidTr="00F25598">
        <w:trPr>
          <w:trHeight w:val="1035"/>
        </w:trPr>
        <w:tc>
          <w:tcPr>
            <w:tcW w:w="1106" w:type="dxa"/>
            <w:vMerge w:val="restart"/>
            <w:shd w:val="clear" w:color="auto" w:fill="FFFFFF"/>
          </w:tcPr>
          <w:p w:rsidR="00464D70" w:rsidRPr="00464D70" w:rsidRDefault="00464D70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64D70">
              <w:rPr>
                <w:b/>
                <w:bCs/>
                <w:sz w:val="20"/>
                <w:szCs w:val="20"/>
                <w:lang w:val="en-US"/>
              </w:rPr>
              <w:t xml:space="preserve">B. Poor </w:t>
            </w:r>
            <w:proofErr w:type="spellStart"/>
            <w:r w:rsidRPr="00464D70">
              <w:rPr>
                <w:b/>
                <w:bCs/>
                <w:sz w:val="20"/>
                <w:szCs w:val="20"/>
                <w:lang w:val="en-US"/>
              </w:rPr>
              <w:t>evolva-bility</w:t>
            </w:r>
            <w:proofErr w:type="spellEnd"/>
          </w:p>
        </w:tc>
        <w:tc>
          <w:tcPr>
            <w:tcW w:w="1253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Slow turnover of generations 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 xml:space="preserve">(P) </w:t>
            </w:r>
          </w:p>
        </w:tc>
        <w:tc>
          <w:tcPr>
            <w:tcW w:w="1095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Typical colony longevity ≥ 10 years</w:t>
            </w:r>
          </w:p>
        </w:tc>
        <w:tc>
          <w:tcPr>
            <w:tcW w:w="640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773</w:t>
            </w:r>
          </w:p>
        </w:tc>
        <w:tc>
          <w:tcPr>
            <w:tcW w:w="1738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Typical colony longevity ≥ 50 years</w:t>
            </w:r>
          </w:p>
        </w:tc>
        <w:tc>
          <w:tcPr>
            <w:tcW w:w="544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13</w:t>
            </w:r>
          </w:p>
        </w:tc>
        <w:tc>
          <w:tcPr>
            <w:tcW w:w="1523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NA (no larger data classes available)</w:t>
            </w:r>
          </w:p>
        </w:tc>
        <w:tc>
          <w:tcPr>
            <w:tcW w:w="544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13</w:t>
            </w:r>
          </w:p>
        </w:tc>
        <w:tc>
          <w:tcPr>
            <w:tcW w:w="799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13</w:t>
            </w:r>
          </w:p>
        </w:tc>
      </w:tr>
      <w:tr w:rsidR="00464D70" w:rsidRPr="00E34C83" w:rsidTr="00F25598">
        <w:trPr>
          <w:trHeight w:val="1005"/>
        </w:trPr>
        <w:tc>
          <w:tcPr>
            <w:tcW w:w="1106" w:type="dxa"/>
            <w:vMerge/>
            <w:shd w:val="clear" w:color="auto" w:fill="FFFFFF"/>
          </w:tcPr>
          <w:p w:rsidR="00464D70" w:rsidRPr="00464D70" w:rsidRDefault="00464D70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Low growth rate 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>(P)</w:t>
            </w:r>
          </w:p>
        </w:tc>
        <w:tc>
          <w:tcPr>
            <w:tcW w:w="1095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Typical maximum growth rate ≤ 100 mm year</w:t>
            </w:r>
          </w:p>
        </w:tc>
        <w:tc>
          <w:tcPr>
            <w:tcW w:w="640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620</w:t>
            </w:r>
          </w:p>
        </w:tc>
        <w:tc>
          <w:tcPr>
            <w:tcW w:w="1738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Typical maximum growth rate ≤ 30 mm per year</w:t>
            </w:r>
          </w:p>
        </w:tc>
        <w:tc>
          <w:tcPr>
            <w:tcW w:w="544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293</w:t>
            </w:r>
          </w:p>
        </w:tc>
        <w:tc>
          <w:tcPr>
            <w:tcW w:w="1523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Typical maximum growth rate ≤ 10 mm per year</w:t>
            </w:r>
          </w:p>
        </w:tc>
        <w:tc>
          <w:tcPr>
            <w:tcW w:w="544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91</w:t>
            </w:r>
          </w:p>
        </w:tc>
        <w:tc>
          <w:tcPr>
            <w:tcW w:w="799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9</w:t>
            </w:r>
          </w:p>
        </w:tc>
      </w:tr>
      <w:tr w:rsidR="00464D70" w:rsidRPr="00E34C83" w:rsidTr="00F25598">
        <w:trPr>
          <w:trHeight w:val="270"/>
        </w:trPr>
        <w:tc>
          <w:tcPr>
            <w:tcW w:w="9242" w:type="dxa"/>
            <w:gridSpan w:val="9"/>
            <w:shd w:val="clear" w:color="auto" w:fill="FFFFFF"/>
          </w:tcPr>
          <w:p w:rsidR="00464D70" w:rsidRPr="00464D70" w:rsidRDefault="00464D70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64D70">
              <w:rPr>
                <w:b/>
                <w:bCs/>
                <w:sz w:val="20"/>
                <w:szCs w:val="20"/>
                <w:lang w:val="en-US"/>
              </w:rPr>
              <w:t>Exposure</w:t>
            </w:r>
          </w:p>
        </w:tc>
      </w:tr>
      <w:tr w:rsidR="00464D70" w:rsidRPr="00E34C83" w:rsidTr="00F25598">
        <w:trPr>
          <w:trHeight w:val="1545"/>
        </w:trPr>
        <w:tc>
          <w:tcPr>
            <w:tcW w:w="1106" w:type="dxa"/>
            <w:shd w:val="clear" w:color="auto" w:fill="FFFFFF"/>
          </w:tcPr>
          <w:p w:rsidR="00464D70" w:rsidRPr="00464D70" w:rsidRDefault="00464D70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64D70">
              <w:rPr>
                <w:b/>
                <w:bCs/>
                <w:sz w:val="20"/>
                <w:szCs w:val="20"/>
                <w:lang w:val="en-US"/>
              </w:rPr>
              <w:t>A. Temper-</w:t>
            </w:r>
            <w:proofErr w:type="spellStart"/>
            <w:r w:rsidRPr="00464D70">
              <w:rPr>
                <w:b/>
                <w:bCs/>
                <w:sz w:val="20"/>
                <w:szCs w:val="20"/>
                <w:lang w:val="en-US"/>
              </w:rPr>
              <w:t>ature</w:t>
            </w:r>
            <w:proofErr w:type="spellEnd"/>
            <w:r w:rsidRPr="00464D70">
              <w:rPr>
                <w:b/>
                <w:bCs/>
                <w:sz w:val="20"/>
                <w:szCs w:val="20"/>
                <w:lang w:val="en-US"/>
              </w:rPr>
              <w:t xml:space="preserve"> change</w:t>
            </w:r>
          </w:p>
        </w:tc>
        <w:tc>
          <w:tcPr>
            <w:tcW w:w="1253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Exposure to temperatures known to cause  bleaching 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>(P)</w:t>
            </w:r>
          </w:p>
        </w:tc>
        <w:tc>
          <w:tcPr>
            <w:tcW w:w="1095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 xml:space="preserve">Highest 35%: 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br/>
            </w: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 ≥ 8.35 </w:t>
            </w:r>
          </w:p>
        </w:tc>
        <w:tc>
          <w:tcPr>
            <w:tcW w:w="640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250</w:t>
            </w:r>
          </w:p>
        </w:tc>
        <w:tc>
          <w:tcPr>
            <w:tcW w:w="1738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 xml:space="preserve">Highest 25%:  </w:t>
            </w: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Mean probability of severe bleaching across species' range (/10years) ≥ 8.48 </w:t>
            </w:r>
          </w:p>
        </w:tc>
        <w:tc>
          <w:tcPr>
            <w:tcW w:w="544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184</w:t>
            </w:r>
          </w:p>
        </w:tc>
        <w:tc>
          <w:tcPr>
            <w:tcW w:w="1523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 xml:space="preserve">Highest 15%:  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br/>
            </w: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 ≥ 8.59 </w:t>
            </w:r>
          </w:p>
        </w:tc>
        <w:tc>
          <w:tcPr>
            <w:tcW w:w="544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105</w:t>
            </w:r>
          </w:p>
        </w:tc>
        <w:tc>
          <w:tcPr>
            <w:tcW w:w="799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95</w:t>
            </w:r>
          </w:p>
        </w:tc>
      </w:tr>
      <w:tr w:rsidR="00464D70" w:rsidRPr="00E34C83" w:rsidTr="00F25598">
        <w:trPr>
          <w:trHeight w:val="1290"/>
        </w:trPr>
        <w:tc>
          <w:tcPr>
            <w:tcW w:w="1106" w:type="dxa"/>
            <w:shd w:val="clear" w:color="auto" w:fill="FFFFFF"/>
          </w:tcPr>
          <w:p w:rsidR="00464D70" w:rsidRPr="00464D70" w:rsidRDefault="00464D70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464D70">
              <w:rPr>
                <w:b/>
                <w:bCs/>
                <w:sz w:val="20"/>
                <w:szCs w:val="20"/>
                <w:lang w:val="en-US"/>
              </w:rPr>
              <w:t>B. Elevated CO</w:t>
            </w:r>
            <w:r w:rsidRPr="00464D70">
              <w:rPr>
                <w:b/>
                <w:bCs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253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Exposure to low aragonite saturation states 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>(P)</w:t>
            </w:r>
          </w:p>
        </w:tc>
        <w:tc>
          <w:tcPr>
            <w:tcW w:w="1095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 xml:space="preserve">Highest 35%: 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br/>
            </w: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 ≥ 93.32%</w:t>
            </w:r>
          </w:p>
        </w:tc>
        <w:tc>
          <w:tcPr>
            <w:tcW w:w="640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247</w:t>
            </w:r>
          </w:p>
        </w:tc>
        <w:tc>
          <w:tcPr>
            <w:tcW w:w="1738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 xml:space="preserve">Highest 25%: </w:t>
            </w: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Proportion of species' range with aragonite saturation ≤ 3 by 2050 ≥ 95.29%  </w:t>
            </w:r>
          </w:p>
        </w:tc>
        <w:tc>
          <w:tcPr>
            <w:tcW w:w="544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177</w:t>
            </w:r>
          </w:p>
        </w:tc>
        <w:tc>
          <w:tcPr>
            <w:tcW w:w="1523" w:type="dxa"/>
            <w:shd w:val="clear" w:color="auto" w:fill="FFFFFF"/>
          </w:tcPr>
          <w:p w:rsidR="00464D70" w:rsidRPr="009D38B0" w:rsidRDefault="00464D70" w:rsidP="00F25598">
            <w:pPr>
              <w:spacing w:before="0" w:line="240" w:lineRule="auto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>Highest 15%: &gt;=</w:t>
            </w: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96.75%  </w:t>
            </w:r>
          </w:p>
        </w:tc>
        <w:tc>
          <w:tcPr>
            <w:tcW w:w="544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107</w:t>
            </w:r>
          </w:p>
        </w:tc>
        <w:tc>
          <w:tcPr>
            <w:tcW w:w="799" w:type="dxa"/>
            <w:shd w:val="clear" w:color="auto" w:fill="FFFFFF"/>
            <w:noWrap/>
          </w:tcPr>
          <w:p w:rsidR="00464D70" w:rsidRPr="009D38B0" w:rsidRDefault="00464D70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91</w:t>
            </w:r>
          </w:p>
        </w:tc>
      </w:tr>
    </w:tbl>
    <w:p w:rsidR="00464D70" w:rsidRDefault="00464D70" w:rsidP="00464D70">
      <w:pPr>
        <w:rPr>
          <w:rFonts w:ascii="Cambria" w:hAnsi="Cambria"/>
          <w:b/>
          <w:bCs/>
          <w:color w:val="365F91"/>
          <w:sz w:val="28"/>
          <w:szCs w:val="28"/>
          <w:lang w:eastAsia="en-GB"/>
        </w:rPr>
      </w:pPr>
    </w:p>
    <w:sectPr w:rsidR="00464D70" w:rsidSect="00464D7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70"/>
    <w:rsid w:val="000E7D76"/>
    <w:rsid w:val="0046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70"/>
    <w:pPr>
      <w:spacing w:before="120" w:after="0" w:line="36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4D70"/>
    <w:pPr>
      <w:keepNext/>
      <w:keepLines/>
      <w:spacing w:before="200"/>
      <w:outlineLvl w:val="2"/>
    </w:pPr>
    <w:rPr>
      <w:rFonts w:ascii="Cambria" w:hAnsi="Cambria"/>
      <w:b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64D70"/>
    <w:rPr>
      <w:rFonts w:ascii="Cambria" w:eastAsia="Times New Roman" w:hAnsi="Cambria" w:cs="Times New Roman"/>
      <w:b/>
      <w:color w:val="4F81BD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70"/>
    <w:pPr>
      <w:spacing w:before="120" w:after="0" w:line="36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4D70"/>
    <w:pPr>
      <w:keepNext/>
      <w:keepLines/>
      <w:spacing w:before="200"/>
      <w:outlineLvl w:val="2"/>
    </w:pPr>
    <w:rPr>
      <w:rFonts w:ascii="Cambria" w:hAnsi="Cambria"/>
      <w:b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64D70"/>
    <w:rPr>
      <w:rFonts w:ascii="Cambria" w:eastAsia="Times New Roman" w:hAnsi="Cambria" w:cs="Times New Roman"/>
      <w:b/>
      <w:color w:val="4F81BD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Foden</dc:creator>
  <cp:lastModifiedBy>Wendy Foden</cp:lastModifiedBy>
  <cp:revision>1</cp:revision>
  <dcterms:created xsi:type="dcterms:W3CDTF">2013-05-14T14:45:00Z</dcterms:created>
  <dcterms:modified xsi:type="dcterms:W3CDTF">2013-05-14T14:46:00Z</dcterms:modified>
</cp:coreProperties>
</file>