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D7" w:rsidRPr="00D002EC" w:rsidRDefault="00680FD7" w:rsidP="00680FD7">
      <w:pPr>
        <w:adjustRightInd/>
        <w:ind w:left="422" w:hangingChars="200" w:hanging="422"/>
        <w:jc w:val="center"/>
        <w:rPr>
          <w:sz w:val="21"/>
          <w:szCs w:val="21"/>
          <w:lang w:eastAsia="zh-CN"/>
        </w:rPr>
      </w:pPr>
      <w:r w:rsidRPr="00D002EC">
        <w:rPr>
          <w:b/>
          <w:sz w:val="21"/>
          <w:szCs w:val="21"/>
        </w:rPr>
        <w:t xml:space="preserve">Table </w:t>
      </w:r>
      <w:r w:rsidRPr="00D002EC">
        <w:rPr>
          <w:rFonts w:hint="eastAsia"/>
          <w:b/>
          <w:sz w:val="21"/>
          <w:szCs w:val="21"/>
          <w:lang w:eastAsia="zh-CN"/>
        </w:rPr>
        <w:t>S</w:t>
      </w:r>
      <w:r>
        <w:rPr>
          <w:rFonts w:hint="eastAsia"/>
          <w:b/>
          <w:sz w:val="21"/>
          <w:szCs w:val="21"/>
          <w:lang w:eastAsia="zh-CN"/>
        </w:rPr>
        <w:t>3</w:t>
      </w:r>
      <w:r w:rsidRPr="00D002EC">
        <w:rPr>
          <w:rFonts w:hint="eastAsia"/>
          <w:sz w:val="21"/>
          <w:szCs w:val="21"/>
          <w:lang w:eastAsia="zh-CN"/>
        </w:rPr>
        <w:t xml:space="preserve"> T</w:t>
      </w:r>
      <w:r w:rsidRPr="00D002EC">
        <w:rPr>
          <w:sz w:val="21"/>
          <w:szCs w:val="21"/>
        </w:rPr>
        <w:t xml:space="preserve">he </w:t>
      </w:r>
      <w:r>
        <w:rPr>
          <w:rFonts w:hint="eastAsia"/>
          <w:sz w:val="21"/>
          <w:szCs w:val="21"/>
          <w:lang w:eastAsia="zh-CN"/>
        </w:rPr>
        <w:t xml:space="preserve">average </w:t>
      </w:r>
      <w:r w:rsidRPr="00D002EC">
        <w:rPr>
          <w:sz w:val="21"/>
          <w:szCs w:val="21"/>
        </w:rPr>
        <w:t xml:space="preserve">area of protein bodies </w:t>
      </w:r>
      <w:r w:rsidRPr="00D002EC">
        <w:rPr>
          <w:sz w:val="21"/>
          <w:szCs w:val="21"/>
          <w:lang w:eastAsia="zh-CN"/>
        </w:rPr>
        <w:t>labeling with anti-</w:t>
      </w:r>
      <w:r w:rsidRPr="00D002EC">
        <w:rPr>
          <w:sz w:val="21"/>
          <w:szCs w:val="21"/>
        </w:rPr>
        <w:t>HMW-GS in 10</w:t>
      </w:r>
      <w:r w:rsidRPr="00D002EC">
        <w:rPr>
          <w:sz w:val="21"/>
          <w:szCs w:val="21"/>
          <w:vertAlign w:val="superscript"/>
        </w:rPr>
        <w:t>4</w:t>
      </w:r>
      <w:r w:rsidRPr="00D002EC">
        <w:rPr>
          <w:sz w:val="21"/>
          <w:szCs w:val="21"/>
        </w:rPr>
        <w:t>μm</w:t>
      </w:r>
      <w:r w:rsidRPr="00D002EC">
        <w:rPr>
          <w:sz w:val="21"/>
          <w:szCs w:val="21"/>
          <w:vertAlign w:val="superscript"/>
        </w:rPr>
        <w:t>2</w:t>
      </w:r>
      <w:r w:rsidRPr="00D002EC">
        <w:rPr>
          <w:sz w:val="21"/>
          <w:szCs w:val="21"/>
        </w:rPr>
        <w:t xml:space="preserve"> </w:t>
      </w:r>
      <w:r w:rsidRPr="00D002EC">
        <w:rPr>
          <w:sz w:val="21"/>
          <w:szCs w:val="21"/>
          <w:lang w:eastAsia="zh-CN"/>
        </w:rPr>
        <w:t xml:space="preserve">of </w:t>
      </w:r>
      <w:r w:rsidRPr="00D002EC">
        <w:rPr>
          <w:sz w:val="21"/>
          <w:szCs w:val="21"/>
        </w:rPr>
        <w:t xml:space="preserve">CS </w:t>
      </w:r>
      <w:r>
        <w:rPr>
          <w:rFonts w:hint="eastAsia"/>
          <w:sz w:val="21"/>
          <w:szCs w:val="21"/>
          <w:lang w:eastAsia="zh-CN"/>
        </w:rPr>
        <w:t>a</w:t>
      </w:r>
      <w:r w:rsidRPr="00D002EC">
        <w:rPr>
          <w:sz w:val="21"/>
          <w:szCs w:val="21"/>
        </w:rPr>
        <w:t xml:space="preserve">nd </w:t>
      </w:r>
      <w:r w:rsidRPr="0097423C">
        <w:rPr>
          <w:color w:val="000000"/>
          <w:sz w:val="21"/>
          <w:szCs w:val="21"/>
          <w:lang w:eastAsia="zh-CN"/>
        </w:rPr>
        <w:t>CS-1S</w:t>
      </w:r>
      <w:r w:rsidRPr="0097423C">
        <w:rPr>
          <w:color w:val="000000"/>
          <w:sz w:val="21"/>
          <w:szCs w:val="21"/>
          <w:vertAlign w:val="superscript"/>
          <w:lang w:eastAsia="zh-CN"/>
        </w:rPr>
        <w:t>l</w:t>
      </w:r>
      <w:r w:rsidRPr="0097423C">
        <w:rPr>
          <w:color w:val="000000"/>
          <w:sz w:val="21"/>
          <w:szCs w:val="21"/>
          <w:lang w:eastAsia="zh-CN"/>
        </w:rPr>
        <w:t>(1B)</w:t>
      </w:r>
      <w:r w:rsidRPr="0097423C">
        <w:rPr>
          <w:color w:val="000000"/>
          <w:sz w:val="21"/>
          <w:szCs w:val="21"/>
        </w:rPr>
        <w:t xml:space="preserve"> </w:t>
      </w:r>
      <w:r w:rsidRPr="00D002EC">
        <w:rPr>
          <w:sz w:val="21"/>
          <w:szCs w:val="21"/>
        </w:rPr>
        <w:t>from 7</w:t>
      </w:r>
      <w:r w:rsidRPr="00D002EC">
        <w:rPr>
          <w:rFonts w:hint="eastAsia"/>
          <w:sz w:val="21"/>
          <w:szCs w:val="21"/>
          <w:lang w:eastAsia="zh-CN"/>
        </w:rPr>
        <w:t>-</w:t>
      </w:r>
      <w:r w:rsidRPr="00D002EC">
        <w:rPr>
          <w:sz w:val="21"/>
          <w:szCs w:val="21"/>
        </w:rPr>
        <w:t>22 DPA</w:t>
      </w:r>
      <w:r w:rsidRPr="00D002EC">
        <w:rPr>
          <w:rFonts w:hint="eastAsia"/>
          <w:sz w:val="21"/>
          <w:szCs w:val="21"/>
          <w:lang w:eastAsia="zh-CN"/>
        </w:rPr>
        <w:t xml:space="preserve"> of grain development</w:t>
      </w:r>
      <w:r w:rsidRPr="00D002EC">
        <w:rPr>
          <w:sz w:val="21"/>
          <w:szCs w:val="21"/>
        </w:rPr>
        <w:t>.</w:t>
      </w:r>
    </w:p>
    <w:tbl>
      <w:tblPr>
        <w:tblW w:w="0" w:type="auto"/>
        <w:jc w:val="center"/>
        <w:tblBorders>
          <w:top w:val="single" w:sz="12" w:space="0" w:color="000000"/>
          <w:insideH w:val="single" w:sz="4" w:space="0" w:color="000000"/>
        </w:tblBorders>
        <w:tblLook w:val="00A0"/>
      </w:tblPr>
      <w:tblGrid>
        <w:gridCol w:w="1050"/>
        <w:gridCol w:w="1293"/>
        <w:gridCol w:w="1035"/>
        <w:gridCol w:w="1125"/>
        <w:gridCol w:w="1125"/>
        <w:gridCol w:w="1125"/>
        <w:gridCol w:w="945"/>
      </w:tblGrid>
      <w:tr w:rsidR="00680FD7" w:rsidRPr="00695B79" w:rsidTr="00512ACB">
        <w:trPr>
          <w:jc w:val="center"/>
        </w:trPr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CS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95B79">
              <w:rPr>
                <w:color w:val="000000"/>
                <w:sz w:val="18"/>
                <w:szCs w:val="18"/>
              </w:rPr>
              <w:t>PB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22 DPA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bookmarkStart w:id="0" w:name="_Hlk313190785"/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PB &lt;1μm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95B79">
              <w:rPr>
                <w:color w:val="000000"/>
                <w:sz w:val="18"/>
                <w:szCs w:val="18"/>
              </w:rPr>
              <w:t>18.7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3±0.90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95B79">
              <w:rPr>
                <w:color w:val="000000"/>
                <w:sz w:val="18"/>
                <w:szCs w:val="18"/>
              </w:rPr>
              <w:t>43.6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3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±5.05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695B79">
              <w:rPr>
                <w:color w:val="000000"/>
                <w:sz w:val="18"/>
                <w:szCs w:val="18"/>
              </w:rPr>
              <w:t>10.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20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±1.11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10.67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±2.38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2.64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±0.64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/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1μm&lt;</w:t>
            </w:r>
            <w:bookmarkStart w:id="1" w:name="OLE_LINK318"/>
            <w:bookmarkStart w:id="2" w:name="OLE_LINK319"/>
            <w:r w:rsidRPr="00695B79">
              <w:rPr>
                <w:color w:val="000000"/>
                <w:sz w:val="18"/>
                <w:szCs w:val="18"/>
              </w:rPr>
              <w:t>PB</w:t>
            </w:r>
            <w:bookmarkEnd w:id="1"/>
            <w:bookmarkEnd w:id="2"/>
            <w:r w:rsidRPr="00695B79">
              <w:rPr>
                <w:color w:val="000000"/>
                <w:sz w:val="18"/>
                <w:szCs w:val="18"/>
              </w:rPr>
              <w:t>&lt;5</w:t>
            </w:r>
            <w:bookmarkStart w:id="3" w:name="OLE_LINK320"/>
            <w:bookmarkStart w:id="4" w:name="OLE_LINK321"/>
            <w:r w:rsidRPr="00695B79">
              <w:rPr>
                <w:color w:val="000000"/>
                <w:sz w:val="18"/>
                <w:szCs w:val="18"/>
              </w:rPr>
              <w:t>μm</w:t>
            </w:r>
            <w:bookmarkEnd w:id="3"/>
            <w:bookmarkEnd w:id="4"/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6.1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9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9.58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±1.90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2.86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0.76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0.33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±0.05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/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5B79">
              <w:rPr>
                <w:rFonts w:ascii="Times New Roman" w:hAnsi="Times New Roman"/>
                <w:color w:val="000000"/>
                <w:sz w:val="18"/>
                <w:szCs w:val="18"/>
              </w:rPr>
              <w:t>PB&gt;5μm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1.17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0.47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±0.55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0.89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±1.07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ind w:firstLine="180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0.33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±0.37</w:t>
            </w:r>
          </w:p>
        </w:tc>
      </w:tr>
      <w:bookmarkEnd w:id="0"/>
      <w:tr w:rsidR="00680FD7" w:rsidRPr="00695B79" w:rsidTr="00512ACB">
        <w:trPr>
          <w:jc w:val="center"/>
        </w:trPr>
        <w:tc>
          <w:tcPr>
            <w:tcW w:w="0" w:type="auto"/>
            <w:vMerge/>
            <w:tcBorders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5" w:name="OLE_LINK324"/>
            <w:bookmarkStart w:id="6" w:name="OLE_LINK325"/>
            <w:r w:rsidRPr="00695B79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  <w:bookmarkEnd w:id="5"/>
            <w:bookmarkEnd w:id="6"/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26.0</w:t>
            </w:r>
            <w:r w:rsidRPr="00695B79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53.6</w:t>
            </w:r>
            <w:r w:rsidRPr="00695B79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13.95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11.43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3.3</w:t>
            </w:r>
            <w:r w:rsidRPr="00695B79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5B79">
              <w:rPr>
                <w:rFonts w:ascii="Times New Roman" w:hAnsi="Times New Roman"/>
                <w:color w:val="000000"/>
                <w:sz w:val="18"/>
                <w:szCs w:val="18"/>
              </w:rPr>
              <w:t>CS-1S</w:t>
            </w:r>
            <w:r w:rsidRPr="00695B79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l</w:t>
            </w:r>
            <w:r w:rsidRPr="00695B79">
              <w:rPr>
                <w:rFonts w:ascii="Times New Roman" w:hAnsi="Times New Roman"/>
                <w:color w:val="000000"/>
                <w:sz w:val="18"/>
                <w:szCs w:val="18"/>
              </w:rPr>
              <w:t>(1B)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95B79">
              <w:rPr>
                <w:color w:val="000000"/>
                <w:kern w:val="2"/>
                <w:sz w:val="18"/>
                <w:szCs w:val="18"/>
              </w:rPr>
              <w:t>PB &lt;1 μm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8.5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±0.16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31.96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±0.22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26.92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±0.92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35.71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±1.82</w:t>
            </w:r>
          </w:p>
        </w:tc>
        <w:tc>
          <w:tcPr>
            <w:tcW w:w="0" w:type="auto"/>
            <w:tcBorders>
              <w:top w:val="single" w:sz="12" w:space="0" w:color="00B050"/>
              <w:bottom w:val="single" w:sz="4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6.</w:t>
            </w:r>
            <w:r w:rsidRPr="00695B79">
              <w:rPr>
                <w:sz w:val="18"/>
                <w:szCs w:val="18"/>
                <w:lang w:eastAsia="zh-CN"/>
              </w:rPr>
              <w:t>70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±0.98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B050"/>
              <w:bottom w:val="single" w:sz="12" w:space="0" w:color="339966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95B79">
              <w:rPr>
                <w:color w:val="000000"/>
                <w:kern w:val="2"/>
                <w:sz w:val="18"/>
                <w:szCs w:val="18"/>
              </w:rPr>
              <w:t>1μm&lt;PB&lt;5μm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3.1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±0.08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7.0</w:t>
            </w:r>
            <w:r w:rsidRPr="00695B79">
              <w:rPr>
                <w:sz w:val="18"/>
                <w:szCs w:val="18"/>
                <w:lang w:eastAsia="zh-CN"/>
              </w:rPr>
              <w:t>3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±0.38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5</w:t>
            </w:r>
            <w:r w:rsidRPr="00695B79">
              <w:rPr>
                <w:sz w:val="18"/>
                <w:szCs w:val="18"/>
                <w:lang w:eastAsia="zh-CN"/>
              </w:rPr>
              <w:t>.00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±0.32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10.5</w:t>
            </w:r>
            <w:r w:rsidRPr="00695B79">
              <w:rPr>
                <w:sz w:val="18"/>
                <w:szCs w:val="18"/>
                <w:lang w:eastAsia="zh-CN"/>
              </w:rPr>
              <w:t>4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±0.76</w:t>
            </w:r>
          </w:p>
        </w:tc>
        <w:tc>
          <w:tcPr>
            <w:tcW w:w="0" w:type="auto"/>
            <w:tcBorders>
              <w:top w:val="single" w:sz="4" w:space="0" w:color="00B050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1.4</w:t>
            </w:r>
            <w:r w:rsidRPr="00695B79">
              <w:rPr>
                <w:sz w:val="18"/>
                <w:szCs w:val="18"/>
                <w:lang w:eastAsia="zh-CN"/>
              </w:rPr>
              <w:t>7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±0.12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bottom w:val="single" w:sz="12" w:space="0" w:color="339966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</w:rPr>
              <w:t>PB</w:t>
            </w:r>
            <w:r w:rsidRPr="00695B79">
              <w:rPr>
                <w:color w:val="000000"/>
                <w:sz w:val="18"/>
                <w:szCs w:val="18"/>
                <w:lang w:eastAsia="zh-CN"/>
              </w:rPr>
              <w:t>&gt;</w:t>
            </w:r>
            <w:r w:rsidRPr="00695B79">
              <w:rPr>
                <w:color w:val="000000"/>
                <w:sz w:val="18"/>
                <w:szCs w:val="18"/>
              </w:rPr>
              <w:t>5μm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1.00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1.4</w:t>
            </w:r>
            <w:r w:rsidRPr="00695B79">
              <w:rPr>
                <w:sz w:val="18"/>
                <w:szCs w:val="18"/>
                <w:lang w:eastAsia="zh-CN"/>
              </w:rPr>
              <w:t>6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2.3</w:t>
            </w:r>
            <w:r w:rsidRPr="00695B79">
              <w:rPr>
                <w:sz w:val="18"/>
                <w:szCs w:val="18"/>
                <w:lang w:eastAsia="zh-CN"/>
              </w:rPr>
              <w:t>1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2.8</w:t>
            </w:r>
            <w:r w:rsidRPr="00695B79">
              <w:rPr>
                <w:sz w:val="18"/>
                <w:szCs w:val="18"/>
                <w:lang w:eastAsia="zh-CN"/>
              </w:rPr>
              <w:t>6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0.4</w:t>
            </w:r>
            <w:r w:rsidRPr="00695B79">
              <w:rPr>
                <w:sz w:val="18"/>
                <w:szCs w:val="18"/>
                <w:lang w:eastAsia="zh-CN"/>
              </w:rPr>
              <w:t>2</w:t>
            </w:r>
            <w:r w:rsidRPr="00695B79">
              <w:rPr>
                <w:kern w:val="2"/>
                <w:sz w:val="18"/>
                <w:szCs w:val="18"/>
                <w:lang w:eastAsia="zh-CN"/>
              </w:rPr>
              <w:t>±0.08</w:t>
            </w:r>
          </w:p>
        </w:tc>
      </w:tr>
      <w:tr w:rsidR="00680FD7" w:rsidRPr="00695B79" w:rsidTr="00512ACB">
        <w:trPr>
          <w:jc w:val="center"/>
        </w:trPr>
        <w:tc>
          <w:tcPr>
            <w:tcW w:w="0" w:type="auto"/>
            <w:vMerge/>
            <w:tcBorders>
              <w:top w:val="single" w:sz="12" w:space="0" w:color="000000"/>
              <w:bottom w:val="single" w:sz="12" w:space="0" w:color="339966"/>
            </w:tcBorders>
            <w:vAlign w:val="center"/>
          </w:tcPr>
          <w:p w:rsidR="00680FD7" w:rsidRPr="00695B79" w:rsidRDefault="00680FD7" w:rsidP="00680FD7">
            <w:pPr>
              <w:pStyle w:val="ListParagraph1"/>
              <w:spacing w:beforeLines="50" w:afterLines="50"/>
              <w:ind w:firstLineChars="0" w:firstLin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695B79">
              <w:rPr>
                <w:color w:val="000000"/>
                <w:sz w:val="18"/>
                <w:szCs w:val="18"/>
                <w:lang w:eastAsia="zh-CN"/>
              </w:rPr>
              <w:t>T</w:t>
            </w:r>
            <w:r w:rsidRPr="00695B79">
              <w:rPr>
                <w:color w:val="000000"/>
                <w:sz w:val="18"/>
                <w:szCs w:val="18"/>
              </w:rPr>
              <w:t>otal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12.6</w:t>
            </w:r>
            <w:r w:rsidRPr="00695B79"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40.45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34.23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</w:rPr>
            </w:pPr>
            <w:r w:rsidRPr="00695B79">
              <w:rPr>
                <w:sz w:val="18"/>
                <w:szCs w:val="18"/>
              </w:rPr>
              <w:t>49.1</w:t>
            </w:r>
            <w:r w:rsidRPr="00695B79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2" w:space="0" w:color="00B050"/>
            </w:tcBorders>
            <w:vAlign w:val="center"/>
          </w:tcPr>
          <w:p w:rsidR="00680FD7" w:rsidRPr="00695B79" w:rsidRDefault="00680FD7" w:rsidP="00680FD7">
            <w:pPr>
              <w:spacing w:beforeLines="50" w:afterLines="5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695B79">
              <w:rPr>
                <w:sz w:val="18"/>
                <w:szCs w:val="18"/>
              </w:rPr>
              <w:t>8.5</w:t>
            </w:r>
            <w:r w:rsidRPr="00695B79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680FD7" w:rsidRDefault="00680FD7" w:rsidP="00680FD7">
      <w:pPr>
        <w:ind w:left="843" w:hangingChars="350" w:hanging="843"/>
        <w:rPr>
          <w:rFonts w:hint="eastAsia"/>
          <w:b/>
          <w:lang w:eastAsia="zh-CN"/>
        </w:rPr>
      </w:pPr>
    </w:p>
    <w:p w:rsidR="00680FD7" w:rsidRDefault="00680FD7" w:rsidP="00680FD7">
      <w:pPr>
        <w:ind w:left="843" w:hangingChars="350" w:hanging="843"/>
        <w:rPr>
          <w:rFonts w:hint="eastAsia"/>
          <w:b/>
          <w:lang w:eastAsia="zh-CN"/>
        </w:rPr>
      </w:pPr>
    </w:p>
    <w:p w:rsidR="00470ABB" w:rsidRDefault="00470ABB"/>
    <w:sectPr w:rsidR="0047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BB" w:rsidRDefault="00470ABB" w:rsidP="00680FD7">
      <w:pPr>
        <w:spacing w:line="240" w:lineRule="auto"/>
      </w:pPr>
      <w:r>
        <w:separator/>
      </w:r>
    </w:p>
  </w:endnote>
  <w:endnote w:type="continuationSeparator" w:id="1">
    <w:p w:rsidR="00470ABB" w:rsidRDefault="00470ABB" w:rsidP="0068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BB" w:rsidRDefault="00470ABB" w:rsidP="00680FD7">
      <w:pPr>
        <w:spacing w:line="240" w:lineRule="auto"/>
      </w:pPr>
      <w:r>
        <w:separator/>
      </w:r>
    </w:p>
  </w:footnote>
  <w:footnote w:type="continuationSeparator" w:id="1">
    <w:p w:rsidR="00470ABB" w:rsidRDefault="00470ABB" w:rsidP="00680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FD7"/>
    <w:rsid w:val="00470ABB"/>
    <w:rsid w:val="0068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FD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680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FD7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680FD7"/>
    <w:rPr>
      <w:sz w:val="18"/>
      <w:szCs w:val="18"/>
    </w:rPr>
  </w:style>
  <w:style w:type="paragraph" w:customStyle="1" w:styleId="ListParagraph1">
    <w:name w:val="List Paragraph1"/>
    <w:basedOn w:val="a"/>
    <w:qFormat/>
    <w:rsid w:val="00680FD7"/>
    <w:pPr>
      <w:widowControl w:val="0"/>
      <w:overflowPunct/>
      <w:autoSpaceDE/>
      <w:autoSpaceDN/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</dc:creator>
  <cp:keywords/>
  <dc:description/>
  <cp:lastModifiedBy>wsl</cp:lastModifiedBy>
  <cp:revision>2</cp:revision>
  <dcterms:created xsi:type="dcterms:W3CDTF">2013-02-21T04:45:00Z</dcterms:created>
  <dcterms:modified xsi:type="dcterms:W3CDTF">2013-02-21T04:45:00Z</dcterms:modified>
</cp:coreProperties>
</file>