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7FE2" w:rsidRPr="00FE756F" w:rsidRDefault="00C87FE2" w:rsidP="00C87FE2">
      <w:pPr>
        <w:spacing w:line="432" w:lineRule="auto"/>
        <w:rPr>
          <w:rFonts w:ascii="Arial" w:hAnsi="Arial" w:cs="Arial"/>
          <w:b/>
          <w:sz w:val="22"/>
        </w:rPr>
      </w:pPr>
      <w:r w:rsidRPr="00FE756F">
        <w:rPr>
          <w:rFonts w:ascii="Arial" w:hAnsi="Arial" w:cs="Arial"/>
          <w:b/>
          <w:sz w:val="22"/>
        </w:rPr>
        <w:t>Supporting Information for</w:t>
      </w:r>
    </w:p>
    <w:p w:rsidR="00BB6982" w:rsidRPr="00FE756F" w:rsidRDefault="00BB6982" w:rsidP="006416DD">
      <w:pPr>
        <w:spacing w:line="432" w:lineRule="auto"/>
        <w:rPr>
          <w:rFonts w:ascii="Arial" w:hAnsi="Arial" w:cs="Arial"/>
          <w:sz w:val="22"/>
        </w:rPr>
      </w:pPr>
      <w:r w:rsidRPr="00FE756F">
        <w:rPr>
          <w:rFonts w:ascii="Arial" w:hAnsi="Arial" w:cs="Arial"/>
          <w:b/>
          <w:sz w:val="22"/>
        </w:rPr>
        <w:t xml:space="preserve">Infusion of </w:t>
      </w:r>
      <w:r w:rsidR="002721C8" w:rsidRPr="00FE756F">
        <w:rPr>
          <w:rFonts w:ascii="Arial" w:hAnsi="Arial" w:cs="Arial"/>
          <w:b/>
          <w:sz w:val="22"/>
        </w:rPr>
        <w:t>Cloned Marrow Fibroblasts Mitigates Radiation-Induced Lung Injury</w:t>
      </w:r>
    </w:p>
    <w:p w:rsidR="00BB6982" w:rsidRPr="00FE756F" w:rsidRDefault="00BB6982" w:rsidP="00BA6E51">
      <w:pPr>
        <w:spacing w:line="480" w:lineRule="auto"/>
        <w:rPr>
          <w:rFonts w:ascii="Arial" w:hAnsi="Arial" w:cs="Arial"/>
          <w:b/>
          <w:sz w:val="22"/>
        </w:rPr>
      </w:pPr>
      <w:bookmarkStart w:id="0" w:name="_GoBack"/>
      <w:bookmarkEnd w:id="0"/>
    </w:p>
    <w:p w:rsidR="00BB6982" w:rsidRPr="00FE756F" w:rsidRDefault="00BB6982" w:rsidP="00892955">
      <w:pPr>
        <w:spacing w:line="480" w:lineRule="auto"/>
        <w:rPr>
          <w:rFonts w:ascii="Arial" w:hAnsi="Arial" w:cs="Arial"/>
          <w:b/>
          <w:sz w:val="22"/>
        </w:rPr>
      </w:pPr>
      <w:r w:rsidRPr="00FE756F">
        <w:rPr>
          <w:rFonts w:ascii="Arial" w:hAnsi="Arial" w:cs="Arial"/>
          <w:b/>
          <w:sz w:val="22"/>
        </w:rPr>
        <w:t>Supplemental Methods</w:t>
      </w:r>
    </w:p>
    <w:p w:rsidR="00BB6982" w:rsidRPr="00FE756F" w:rsidRDefault="009670DA" w:rsidP="00ED2545">
      <w:pPr>
        <w:spacing w:line="480" w:lineRule="auto"/>
        <w:rPr>
          <w:rFonts w:ascii="Arial" w:hAnsi="Arial" w:cs="Arial"/>
          <w:b/>
          <w:sz w:val="22"/>
        </w:rPr>
      </w:pPr>
      <w:r w:rsidRPr="00FE756F">
        <w:rPr>
          <w:rFonts w:ascii="Arial" w:hAnsi="Arial" w:cs="Arial"/>
          <w:sz w:val="22"/>
        </w:rPr>
        <w:tab/>
      </w:r>
      <w:r w:rsidR="00BB6982" w:rsidRPr="00FE756F">
        <w:rPr>
          <w:rFonts w:ascii="Arial" w:hAnsi="Arial" w:cs="Arial"/>
          <w:sz w:val="22"/>
        </w:rPr>
        <w:t>Details of the following protocols were described by Madtes et al (</w:t>
      </w:r>
      <w:r w:rsidR="00B60099" w:rsidRPr="00FE756F">
        <w:rPr>
          <w:rFonts w:ascii="Arial" w:hAnsi="Arial" w:cs="Arial"/>
          <w:sz w:val="22"/>
        </w:rPr>
        <w:t>invited revision, Radiation Research</w:t>
      </w:r>
      <w:r w:rsidR="00BB6982" w:rsidRPr="00FE756F">
        <w:rPr>
          <w:rFonts w:ascii="Arial" w:hAnsi="Arial" w:cs="Arial"/>
          <w:sz w:val="22"/>
        </w:rPr>
        <w:t>).</w:t>
      </w:r>
    </w:p>
    <w:p w:rsidR="00BA6E51" w:rsidRPr="00FE756F" w:rsidRDefault="00BA6E51" w:rsidP="00574163">
      <w:pPr>
        <w:tabs>
          <w:tab w:val="left" w:pos="0"/>
        </w:tabs>
        <w:spacing w:line="480" w:lineRule="auto"/>
        <w:jc w:val="both"/>
        <w:rPr>
          <w:rFonts w:ascii="Arial" w:hAnsi="Arial" w:cs="Arial"/>
          <w:b/>
          <w:sz w:val="22"/>
        </w:rPr>
      </w:pPr>
    </w:p>
    <w:p w:rsidR="00BA6E51" w:rsidRPr="00FE756F" w:rsidRDefault="00BB6982" w:rsidP="00574163">
      <w:pPr>
        <w:tabs>
          <w:tab w:val="left" w:pos="0"/>
        </w:tabs>
        <w:spacing w:line="480" w:lineRule="auto"/>
        <w:jc w:val="both"/>
        <w:rPr>
          <w:rFonts w:ascii="Arial" w:hAnsi="Arial" w:cs="Arial"/>
          <w:b/>
          <w:sz w:val="22"/>
        </w:rPr>
      </w:pPr>
      <w:r w:rsidRPr="00FE756F">
        <w:rPr>
          <w:rFonts w:ascii="Arial" w:hAnsi="Arial" w:cs="Arial"/>
          <w:b/>
          <w:sz w:val="22"/>
        </w:rPr>
        <w:t xml:space="preserve">Lung </w:t>
      </w:r>
      <w:r w:rsidR="00BA6E51" w:rsidRPr="00FE756F">
        <w:rPr>
          <w:rFonts w:ascii="Arial" w:hAnsi="Arial" w:cs="Arial"/>
          <w:b/>
          <w:sz w:val="22"/>
        </w:rPr>
        <w:t>i</w:t>
      </w:r>
      <w:r w:rsidRPr="00FE756F">
        <w:rPr>
          <w:rFonts w:ascii="Arial" w:hAnsi="Arial" w:cs="Arial"/>
          <w:b/>
          <w:sz w:val="22"/>
        </w:rPr>
        <w:t>rradiation</w:t>
      </w:r>
    </w:p>
    <w:p w:rsidR="00BB6982" w:rsidRPr="00FE756F" w:rsidRDefault="008F6AAF" w:rsidP="00574163">
      <w:pPr>
        <w:tabs>
          <w:tab w:val="left" w:pos="0"/>
        </w:tabs>
        <w:spacing w:line="480" w:lineRule="auto"/>
        <w:jc w:val="both"/>
        <w:rPr>
          <w:sz w:val="22"/>
        </w:rPr>
      </w:pPr>
      <w:r w:rsidRPr="00FE756F">
        <w:rPr>
          <w:rFonts w:ascii="Arial" w:hAnsi="Arial" w:cs="Arial"/>
          <w:sz w:val="22"/>
        </w:rPr>
        <w:tab/>
      </w:r>
      <w:r w:rsidR="00A37E49" w:rsidRPr="00FE756F">
        <w:rPr>
          <w:rFonts w:ascii="Arial" w:hAnsi="Arial" w:cs="Arial"/>
          <w:sz w:val="22"/>
        </w:rPr>
        <w:t>Lung irradiation was conducted by a third party clinical medical physics services (Northwest Medical Physics Center, Lynnwood, WA)</w:t>
      </w:r>
      <w:r w:rsidR="0003140F" w:rsidRPr="00FE756F">
        <w:rPr>
          <w:rFonts w:ascii="Arial" w:hAnsi="Arial" w:cs="Arial"/>
          <w:sz w:val="22"/>
        </w:rPr>
        <w:t xml:space="preserve"> that was blinded to the experimental condition</w:t>
      </w:r>
      <w:r w:rsidR="00A37E49" w:rsidRPr="00FE756F">
        <w:rPr>
          <w:rFonts w:ascii="Arial" w:hAnsi="Arial" w:cs="Arial"/>
          <w:sz w:val="22"/>
        </w:rPr>
        <w:t xml:space="preserve">. </w:t>
      </w:r>
      <w:r w:rsidR="00BB6982" w:rsidRPr="00FE756F">
        <w:rPr>
          <w:rFonts w:ascii="Arial" w:hAnsi="Arial" w:cs="Arial"/>
          <w:sz w:val="22"/>
        </w:rPr>
        <w:t xml:space="preserve">For right lung irradiation, dogs were anesthetized with a continuous intravenous infusion of </w:t>
      </w:r>
      <w:proofErr w:type="spellStart"/>
      <w:r w:rsidR="00BB6982" w:rsidRPr="00FE756F">
        <w:rPr>
          <w:rFonts w:ascii="Arial" w:hAnsi="Arial" w:cs="Arial"/>
          <w:sz w:val="22"/>
        </w:rPr>
        <w:t>propofol</w:t>
      </w:r>
      <w:proofErr w:type="spellEnd"/>
      <w:r w:rsidR="00BB6982" w:rsidRPr="00FE756F">
        <w:rPr>
          <w:rFonts w:ascii="Arial" w:hAnsi="Arial" w:cs="Arial"/>
          <w:sz w:val="22"/>
        </w:rPr>
        <w:t xml:space="preserve"> titrated to provide a surgical plane of anesthesia. The anesthetized animal was then intubated and placed in the left lateral position onto a lung irradiation platform so that the right forelimb was secured away from the radiation port using a soft limb restraint. The animal was positioned by a laser guide in front of the linear accelerator source so that the center of the thorax was 100 cm from the radiation source. The irradiation platform was elevated as needed to place the right lung within the radiation port, and chest x-rays using the linear accelerator were obtained to confirm the correct positioning. The irradiated areas included the right lung, the right hemi-diaphragm and the superior portions of the right side of the liver, and an approximately 5 mm strip of thymus adjacent to the apex of the lung. A lead shield was placed on the linear accelerator port to attenuate the dose of radiation to the heart with the dose point placed 1 cm above the heart block shadows. Once the correct position of the right lung within the radiation port was confirmed, irradiation of the right lung was performed with a dose of 2.5 Gy at 0.07 Gy per minute followed by a radiation boost of 5 Gy at 5 Gy/minute in the ventral to dorsal position measured as a mid-lung, center of field dose. The radiation dose delivered was confirmed using an external dosimeter placed within the radiation field on the dog’s chest</w:t>
      </w:r>
      <w:r w:rsidR="00C40D98" w:rsidRPr="00FE756F">
        <w:rPr>
          <w:rFonts w:ascii="Arial" w:hAnsi="Arial" w:cs="Arial"/>
          <w:sz w:val="22"/>
        </w:rPr>
        <w:t xml:space="preserve">, assuring </w:t>
      </w:r>
      <w:r w:rsidR="0003140F" w:rsidRPr="00FE756F">
        <w:rPr>
          <w:rFonts w:ascii="Arial" w:hAnsi="Arial" w:cs="Arial"/>
          <w:sz w:val="22"/>
        </w:rPr>
        <w:t xml:space="preserve">equivalent </w:t>
      </w:r>
      <w:r w:rsidR="0003140F" w:rsidRPr="00FE756F">
        <w:rPr>
          <w:rFonts w:ascii="Arial" w:hAnsi="Arial" w:cs="Arial"/>
          <w:sz w:val="22"/>
        </w:rPr>
        <w:lastRenderedPageBreak/>
        <w:t>radiation exposure to the right lung of each dog.</w:t>
      </w:r>
      <w:r w:rsidR="00BB6982" w:rsidRPr="00FE756F">
        <w:rPr>
          <w:rFonts w:ascii="Arial" w:hAnsi="Arial" w:cs="Arial"/>
          <w:sz w:val="22"/>
        </w:rPr>
        <w:t xml:space="preserve"> The dog was then rotated 180</w:t>
      </w:r>
      <w:r w:rsidR="00BB6982" w:rsidRPr="00FE756F">
        <w:rPr>
          <w:rFonts w:ascii="Arial" w:hAnsi="Arial" w:cs="Arial"/>
          <w:sz w:val="22"/>
          <w:vertAlign w:val="superscript"/>
        </w:rPr>
        <w:t xml:space="preserve"> </w:t>
      </w:r>
      <w:r w:rsidR="00BB6982" w:rsidRPr="00FE756F">
        <w:rPr>
          <w:rFonts w:ascii="Arial" w:hAnsi="Arial" w:cs="Arial"/>
          <w:sz w:val="22"/>
        </w:rPr>
        <w:t>degrees so that the animal faced away from the linear accelerator source (still lying on the animal’s left side) positioned 100 cm from the radiation source. The position of the right lung within the radiation port was again confirmed by chest x-rays as described above. Once the correct position of the right lung within the radiation port was confirmed, irradiation of the right lung was performed with a dose of 2.5 Gy at 0.07 Gy/min followed by a radiation boost of 5 Gy at 5 Gy/minute in the dorsal to ventral position measured as a mid-lung, center of field dose. The total radiation dose to the right lung was 15 Gy (5 Gy at a dose rate of 0.07 Gy/min plus 10 Gy at 5 Gy/min). A calculated estimate of the radiation dose to the heart based on the lead shield as a percentage of prescribed right lung dose was 5% due to block transmission and another 5% from scatter. This dose of heart irradiation is not expected to have any negative effects.</w:t>
      </w:r>
    </w:p>
    <w:p w:rsidR="00277D47" w:rsidRPr="00FE756F" w:rsidRDefault="00277D47" w:rsidP="00C231C0">
      <w:pPr>
        <w:spacing w:line="480" w:lineRule="auto"/>
        <w:rPr>
          <w:rFonts w:ascii="Arial" w:hAnsi="Arial" w:cs="Arial"/>
          <w:b/>
          <w:bCs/>
          <w:sz w:val="22"/>
        </w:rPr>
      </w:pPr>
    </w:p>
    <w:p w:rsidR="00277D47" w:rsidRPr="00FE756F" w:rsidRDefault="00BB6982" w:rsidP="00C231C0">
      <w:pPr>
        <w:spacing w:line="480" w:lineRule="auto"/>
        <w:rPr>
          <w:rFonts w:ascii="Arial" w:hAnsi="Arial" w:cs="Arial"/>
          <w:b/>
          <w:bCs/>
          <w:sz w:val="22"/>
        </w:rPr>
      </w:pPr>
      <w:r w:rsidRPr="00FE756F">
        <w:rPr>
          <w:rFonts w:ascii="Arial" w:hAnsi="Arial" w:cs="Arial"/>
          <w:b/>
          <w:bCs/>
          <w:sz w:val="22"/>
        </w:rPr>
        <w:t xml:space="preserve">Pulmonary </w:t>
      </w:r>
      <w:r w:rsidR="00277D47" w:rsidRPr="00FE756F">
        <w:rPr>
          <w:rFonts w:ascii="Arial" w:hAnsi="Arial" w:cs="Arial"/>
          <w:b/>
          <w:bCs/>
          <w:sz w:val="22"/>
        </w:rPr>
        <w:t>function tests</w:t>
      </w:r>
    </w:p>
    <w:p w:rsidR="00BB6982" w:rsidRPr="00FE756F" w:rsidRDefault="008F6AAF" w:rsidP="00C231C0">
      <w:pPr>
        <w:spacing w:line="480" w:lineRule="auto"/>
        <w:rPr>
          <w:rFonts w:ascii="Arial" w:hAnsi="Arial" w:cs="Arial"/>
          <w:sz w:val="22"/>
        </w:rPr>
      </w:pPr>
      <w:r w:rsidRPr="00FE756F">
        <w:rPr>
          <w:rFonts w:ascii="Arial" w:hAnsi="Arial" w:cs="Arial"/>
          <w:sz w:val="22"/>
        </w:rPr>
        <w:tab/>
      </w:r>
      <w:r w:rsidR="00BB6982" w:rsidRPr="00FE756F">
        <w:rPr>
          <w:rFonts w:ascii="Arial" w:hAnsi="Arial" w:cs="Arial"/>
          <w:sz w:val="22"/>
        </w:rPr>
        <w:t xml:space="preserve">For pulmonary function testing, each animal was anesthetized with a continuous intravenous infusion of </w:t>
      </w:r>
      <w:proofErr w:type="spellStart"/>
      <w:r w:rsidR="00BB6982" w:rsidRPr="00FE756F">
        <w:rPr>
          <w:rFonts w:ascii="Arial" w:hAnsi="Arial" w:cs="Arial"/>
          <w:sz w:val="22"/>
        </w:rPr>
        <w:t>propofol</w:t>
      </w:r>
      <w:proofErr w:type="spellEnd"/>
      <w:r w:rsidR="00BB6982" w:rsidRPr="00FE756F">
        <w:rPr>
          <w:rFonts w:ascii="Arial" w:hAnsi="Arial" w:cs="Arial"/>
          <w:sz w:val="22"/>
        </w:rPr>
        <w:t xml:space="preserve"> titrated to provide a surgical plane of anesthesia. A bifurcated endotracheal tube was placed to isolate the irradiated and non-irradiated lungs and isolation verified by checking for an airtight seal. Recipients were ventilated with a Harvard piston ventilator with a tidal volume of 12 ml/kg and a rate to produce an end tidal CO</w:t>
      </w:r>
      <w:r w:rsidR="00BB6982" w:rsidRPr="00FE756F">
        <w:rPr>
          <w:rFonts w:ascii="Arial" w:hAnsi="Arial" w:cs="Arial"/>
          <w:sz w:val="22"/>
          <w:vertAlign w:val="subscript"/>
        </w:rPr>
        <w:t>2</w:t>
      </w:r>
      <w:r w:rsidR="00BB6982" w:rsidRPr="00FE756F">
        <w:rPr>
          <w:rFonts w:ascii="Arial" w:hAnsi="Arial" w:cs="Arial"/>
          <w:sz w:val="22"/>
        </w:rPr>
        <w:t xml:space="preserve"> of 35-40 </w:t>
      </w:r>
      <w:proofErr w:type="spellStart"/>
      <w:r w:rsidR="00BB6982" w:rsidRPr="00FE756F">
        <w:rPr>
          <w:rFonts w:ascii="Arial" w:hAnsi="Arial" w:cs="Arial"/>
          <w:sz w:val="22"/>
        </w:rPr>
        <w:t>torr</w:t>
      </w:r>
      <w:proofErr w:type="spellEnd"/>
      <w:r w:rsidR="00BB6982" w:rsidRPr="00FE756F">
        <w:rPr>
          <w:rFonts w:ascii="Arial" w:hAnsi="Arial" w:cs="Arial"/>
          <w:sz w:val="22"/>
        </w:rPr>
        <w:t>. The ventilator circuit was constructed to allow the total tidal volume to be distributed to the right and left lungs with equal airway pressures. Small one-way valves were used to minimize the dead space in the system. Dogs were maintained in the prone posture, and 15 cm H</w:t>
      </w:r>
      <w:r w:rsidR="00BB6982" w:rsidRPr="00FE756F">
        <w:rPr>
          <w:rFonts w:ascii="Arial" w:hAnsi="Arial" w:cs="Arial"/>
          <w:sz w:val="22"/>
          <w:vertAlign w:val="subscript"/>
        </w:rPr>
        <w:t>2</w:t>
      </w:r>
      <w:r w:rsidR="00BB6982" w:rsidRPr="00FE756F">
        <w:rPr>
          <w:rFonts w:ascii="Arial" w:hAnsi="Arial" w:cs="Arial"/>
          <w:sz w:val="22"/>
        </w:rPr>
        <w:t xml:space="preserve">O of PEEP was used regularly for 3-5 breaths to recruit lung volume and minimize atelectasis. Dogs were paralyzed with </w:t>
      </w:r>
      <w:proofErr w:type="spellStart"/>
      <w:r w:rsidR="00BB6982" w:rsidRPr="00FE756F">
        <w:rPr>
          <w:rFonts w:ascii="Arial" w:hAnsi="Arial" w:cs="Arial"/>
          <w:sz w:val="22"/>
        </w:rPr>
        <w:t>atracurium</w:t>
      </w:r>
      <w:proofErr w:type="spellEnd"/>
      <w:r w:rsidR="00BB6982" w:rsidRPr="00FE756F">
        <w:rPr>
          <w:rFonts w:ascii="Arial" w:hAnsi="Arial" w:cs="Arial"/>
          <w:sz w:val="22"/>
        </w:rPr>
        <w:t>. Pulmonary function studies were performed on each lung in isolation. Measurements of lung volumes, carbon monoxide diffusion capacity, airway resistance and dynamic compliance were performed as previously described.</w:t>
      </w:r>
      <w:r w:rsidR="00BB6982" w:rsidRPr="00FE756F">
        <w:rPr>
          <w:rFonts w:ascii="Arial" w:hAnsi="Arial" w:cs="Arial"/>
          <w:sz w:val="22"/>
        </w:rPr>
        <w:fldChar w:fldCharType="begin"/>
      </w:r>
      <w:r w:rsidR="00662447" w:rsidRPr="00FE756F">
        <w:rPr>
          <w:rFonts w:ascii="Arial" w:hAnsi="Arial" w:cs="Arial"/>
          <w:sz w:val="22"/>
        </w:rPr>
        <w:instrText xml:space="preserve"> ADDIN REFMGR.CITE &lt;Refman&gt;&lt;Cite&gt;&lt;Author&gt;Nash&lt;/Author&gt;&lt;Year&gt;2009&lt;/Year&gt;&lt;RecNum&gt;36014&lt;/RecNum&gt;&lt;IDText&gt;Immunomodulatory effects of mixed hematopoietic chimerism: immune tolerance in canine model of lung transplantation&lt;/IDText&gt;&lt;MDL Ref_Type="Journal"&gt;&lt;Ref_Type&gt;Journal&lt;/Ref_Type&gt;&lt;Ref_ID&gt;36014&lt;/Ref_ID&gt;&lt;Title_Primary&gt;Immunomodulatory effects of mixed hematopoietic chimerism: immune tolerance in canine model of lung transplantation&lt;/Title_Primary&gt;&lt;Authors_Primary&gt;Nash,R.A.&lt;/Authors_Primary&gt;&lt;Authors_Primary&gt;Yunusov,M.&lt;/Authors_Primary&gt;&lt;Authors_Primary&gt;Abrams,K.&lt;/Authors_Primary&gt;&lt;Authors_Primary&gt;Hwang,B.&lt;/Authors_Primary&gt;&lt;Authors_Primary&gt;Castilla-Llorente,C.&lt;/Authors_Primary&gt;&lt;Authors_Primary&gt;Chen,P.&lt;/Authors_Primary&gt;&lt;Authors_Primary&gt;Farivar,A.S.&lt;/Authors_Primary&gt;&lt;Authors_Primary&gt;Georges,G.E.&lt;/Authors_Primary&gt;&lt;Authors_Primary&gt;Hackman,R.C.&lt;/Authors_Primary&gt;&lt;Authors_Primary&gt;Lamm,W.J.E.&lt;/Authors_Primary&gt;&lt;Authors_Primary&gt;Lesnikova,M.&lt;/Authors_Primary&gt;&lt;Authors_Primary&gt;Ochs,H.D.&lt;/Authors_Primary&gt;&lt;Authors_Primary&gt;Randolph-Habecker,J.&lt;/Authors_Primary&gt;&lt;Authors_Primary&gt;Ziegler,S.F.&lt;/Authors_Primary&gt;&lt;Authors_Primary&gt;Storb,R.&lt;/Authors_Primary&gt;&lt;Authors_Primary&gt;Storer,B.&lt;/Authors_Primary&gt;&lt;Authors_Primary&gt;Madtes,D.K.&lt;/Authors_Primary&gt;&lt;Authors_Primary&gt;Glenny,R.&lt;/Authors_Primary&gt;&lt;Authors_Primary&gt;Mulligan,M.S.&lt;/Authors_Primary&gt;&lt;Date_Primary&gt;2009&lt;/Date_Primary&gt;&lt;Keywords&gt;FHCRC&lt;/Keywords&gt;&lt;Keywords&gt;Clin&lt;/Keywords&gt;&lt;Keywords&gt;UW&lt;/Keywords&gt;&lt;Keywords&gt;Peer Reviewed&lt;/Keywords&gt;&lt;Keywords&gt;AI 69879&lt;/Keywords&gt;&lt;Keywords&gt;DK 42716&lt;/Keywords&gt;&lt;Keywords&gt;CA 78902&lt;/Keywords&gt;&lt;Keywords&gt;CA 15704&lt;/Keywords&gt;&lt;Reprint&gt;In File&lt;/Reprint&gt;&lt;Start_Page&gt;1037&lt;/Start_Page&gt;&lt;End_Page&gt;1047&lt;/End_Page&gt;&lt;Periodical&gt;Am J Transplant&lt;/Periodical&gt;&lt;Volume&gt;9&lt;/Volume&gt;&lt;ZZ_JournalFull&gt;&lt;f name="System"&gt;American Journal of Transplantation&lt;/f&gt;&lt;/ZZ_JournalFull&gt;&lt;ZZ_JournalStdAbbrev&gt;&lt;f name="System"&gt;Am J Transplant&lt;/f&gt;&lt;/ZZ_JournalStdAbbrev&gt;&lt;ZZ_WorkformID&gt;1&lt;/ZZ_WorkformID&gt;&lt;/MDL&gt;&lt;/Cite&gt;&lt;/Refman&gt;</w:instrText>
      </w:r>
      <w:r w:rsidR="00BB6982" w:rsidRPr="00FE756F">
        <w:rPr>
          <w:rFonts w:ascii="Arial" w:hAnsi="Arial" w:cs="Arial"/>
          <w:sz w:val="22"/>
        </w:rPr>
        <w:fldChar w:fldCharType="separate"/>
      </w:r>
      <w:r w:rsidR="00662447" w:rsidRPr="00FE756F">
        <w:rPr>
          <w:rFonts w:ascii="Arial" w:hAnsi="Arial" w:cs="Arial"/>
          <w:noProof/>
          <w:sz w:val="22"/>
        </w:rPr>
        <w:t>[15]</w:t>
      </w:r>
      <w:r w:rsidR="00BB6982" w:rsidRPr="00FE756F">
        <w:rPr>
          <w:rFonts w:ascii="Arial" w:hAnsi="Arial" w:cs="Arial"/>
          <w:sz w:val="22"/>
        </w:rPr>
        <w:fldChar w:fldCharType="end"/>
      </w:r>
      <w:r w:rsidR="00BB6982" w:rsidRPr="00FE756F">
        <w:rPr>
          <w:rFonts w:ascii="Arial" w:hAnsi="Arial" w:cs="Arial"/>
          <w:sz w:val="22"/>
        </w:rPr>
        <w:t>. The total lung capacity was determined by inflating the lungs to an airway of +25 cm H</w:t>
      </w:r>
      <w:r w:rsidR="00BB6982" w:rsidRPr="00FE756F">
        <w:rPr>
          <w:rFonts w:ascii="Arial" w:hAnsi="Arial" w:cs="Arial"/>
          <w:sz w:val="22"/>
          <w:vertAlign w:val="subscript"/>
        </w:rPr>
        <w:t>2</w:t>
      </w:r>
      <w:r w:rsidR="00BB6982" w:rsidRPr="00FE756F">
        <w:rPr>
          <w:rFonts w:ascii="Arial" w:hAnsi="Arial" w:cs="Arial"/>
          <w:sz w:val="22"/>
        </w:rPr>
        <w:t xml:space="preserve">O. The residual volume was </w:t>
      </w:r>
      <w:r w:rsidR="00BB6982" w:rsidRPr="00FE756F">
        <w:rPr>
          <w:rFonts w:ascii="Arial" w:hAnsi="Arial" w:cs="Arial"/>
          <w:sz w:val="22"/>
        </w:rPr>
        <w:lastRenderedPageBreak/>
        <w:t>determined by deflating the lungs to an airway pressure of -20 cm H</w:t>
      </w:r>
      <w:r w:rsidR="00BB6982" w:rsidRPr="00FE756F">
        <w:rPr>
          <w:rFonts w:ascii="Arial" w:hAnsi="Arial" w:cs="Arial"/>
          <w:sz w:val="22"/>
          <w:vertAlign w:val="subscript"/>
        </w:rPr>
        <w:t>2</w:t>
      </w:r>
      <w:r w:rsidR="00BB6982" w:rsidRPr="00FE756F">
        <w:rPr>
          <w:rFonts w:ascii="Arial" w:hAnsi="Arial" w:cs="Arial"/>
          <w:sz w:val="22"/>
        </w:rPr>
        <w:t xml:space="preserve">O. A modified form of the single-breath carbon monoxide test </w:t>
      </w:r>
      <w:r w:rsidR="00BB6982" w:rsidRPr="00FE756F">
        <w:rPr>
          <w:rFonts w:ascii="Arial" w:hAnsi="Arial" w:cs="Arial"/>
          <w:sz w:val="22"/>
        </w:rPr>
        <w:fldChar w:fldCharType="begin"/>
      </w:r>
      <w:r w:rsidR="00662447" w:rsidRPr="00FE756F">
        <w:rPr>
          <w:rFonts w:ascii="Arial" w:hAnsi="Arial" w:cs="Arial"/>
          <w:sz w:val="22"/>
        </w:rPr>
        <w:instrText xml:space="preserve"> ADDIN REFMGR.CITE &lt;Refman&gt;&lt;Cite&gt;&lt;Author&gt;Robinson&lt;/Author&gt;&lt;Year&gt;1975&lt;/Year&gt;&lt;RecNum&gt;40338&lt;/RecNum&gt;&lt;IDText&gt;Pulmonary diffusing capacity and capillary blood volume in aging dogs&lt;/IDText&gt;&lt;MDL Ref_Type="Journal"&gt;&lt;Ref_Type&gt;Journal&lt;/Ref_Type&gt;&lt;Ref_ID&gt;40338&lt;/Ref_ID&gt;&lt;Title_Primary&gt;Pulmonary diffusing capacity and capillary blood volume in aging dogs&lt;/Title_Primary&gt;&lt;Authors_Primary&gt;Robinson,N.E.&lt;/Authors_Primary&gt;&lt;Authors_Primary&gt;Gillespie,J.R.&lt;/Authors_Primary&gt;&lt;Date_Primary&gt;1975/4&lt;/Date_Primary&gt;&lt;Reprint&gt;Not in File&lt;/Reprint&gt;&lt;Start_Page&gt;647&lt;/Start_Page&gt;&lt;End_Page&gt;650&lt;/End_Page&gt;&lt;Periodical&gt;J.Appl.Physiol.&lt;/Periodical&gt;&lt;Volume&gt;38&lt;/Volume&gt;&lt;Issue&gt;4&lt;/Issue&gt;&lt;ZZ_JournalFull&gt;&lt;f name="System"&gt;Journal of Applied Physiology&lt;/f&gt;&lt;/ZZ_JournalFull&gt;&lt;ZZ_JournalStdAbbrev&gt;&lt;f name="System"&gt;J.Appl.Physiol.&lt;/f&gt;&lt;/ZZ_JournalStdAbbrev&gt;&lt;ZZ_WorkformID&gt;1&lt;/ZZ_WorkformID&gt;&lt;/MDL&gt;&lt;/Cite&gt;&lt;/Refman&gt;</w:instrText>
      </w:r>
      <w:r w:rsidR="00BB6982" w:rsidRPr="00FE756F">
        <w:rPr>
          <w:rFonts w:ascii="Arial" w:hAnsi="Arial" w:cs="Arial"/>
          <w:sz w:val="22"/>
        </w:rPr>
        <w:fldChar w:fldCharType="separate"/>
      </w:r>
      <w:r w:rsidR="00662447" w:rsidRPr="00FE756F">
        <w:rPr>
          <w:rFonts w:ascii="Arial" w:hAnsi="Arial" w:cs="Arial"/>
          <w:noProof/>
          <w:sz w:val="22"/>
        </w:rPr>
        <w:t>[41]</w:t>
      </w:r>
      <w:r w:rsidR="00BB6982" w:rsidRPr="00FE756F">
        <w:rPr>
          <w:rFonts w:ascii="Arial" w:hAnsi="Arial" w:cs="Arial"/>
          <w:sz w:val="22"/>
        </w:rPr>
        <w:fldChar w:fldCharType="end"/>
      </w:r>
      <w:r w:rsidR="00BB6982" w:rsidRPr="00FE756F">
        <w:rPr>
          <w:rFonts w:ascii="Arial" w:hAnsi="Arial" w:cs="Arial"/>
          <w:sz w:val="22"/>
        </w:rPr>
        <w:t xml:space="preserve">  was employed to measure DL</w:t>
      </w:r>
      <w:r w:rsidR="002C784A" w:rsidRPr="00FE756F">
        <w:rPr>
          <w:rFonts w:ascii="Arial" w:hAnsi="Arial" w:cs="Arial"/>
          <w:sz w:val="22"/>
        </w:rPr>
        <w:t>CO</w:t>
      </w:r>
      <w:r w:rsidR="00BB6982" w:rsidRPr="00FE756F">
        <w:rPr>
          <w:rFonts w:ascii="Arial" w:hAnsi="Arial" w:cs="Arial"/>
          <w:sz w:val="22"/>
        </w:rPr>
        <w:t xml:space="preserve"> simultaneously in both lungs.  The dog was removed from the ventilator, and the lungs were deflated to residual volume (-20 cm H</w:t>
      </w:r>
      <w:r w:rsidR="00BB6982" w:rsidRPr="00FE756F">
        <w:rPr>
          <w:rFonts w:ascii="Arial" w:hAnsi="Arial" w:cs="Arial"/>
          <w:sz w:val="22"/>
          <w:vertAlign w:val="subscript"/>
        </w:rPr>
        <w:t>2</w:t>
      </w:r>
      <w:r w:rsidR="00BB6982" w:rsidRPr="00FE756F">
        <w:rPr>
          <w:rFonts w:ascii="Arial" w:hAnsi="Arial" w:cs="Arial"/>
          <w:sz w:val="22"/>
        </w:rPr>
        <w:t xml:space="preserve">O), then the individual lungs were simultaneously inflated to their pre-determined TLC volumes with gas containing 0.3% carbon monoxide and 0.5% neon in air. System dead space was withdrawn, </w:t>
      </w:r>
      <w:proofErr w:type="gramStart"/>
      <w:r w:rsidR="00BB6982" w:rsidRPr="00FE756F">
        <w:rPr>
          <w:rFonts w:ascii="Arial" w:hAnsi="Arial" w:cs="Arial"/>
          <w:sz w:val="22"/>
        </w:rPr>
        <w:t>then</w:t>
      </w:r>
      <w:proofErr w:type="gramEnd"/>
      <w:r w:rsidR="00BB6982" w:rsidRPr="00FE756F">
        <w:rPr>
          <w:rFonts w:ascii="Arial" w:hAnsi="Arial" w:cs="Arial"/>
          <w:sz w:val="22"/>
        </w:rPr>
        <w:t xml:space="preserve"> 150 </w:t>
      </w:r>
      <w:proofErr w:type="spellStart"/>
      <w:r w:rsidR="00BB6982" w:rsidRPr="00FE756F">
        <w:rPr>
          <w:rFonts w:ascii="Arial" w:hAnsi="Arial" w:cs="Arial"/>
          <w:sz w:val="22"/>
        </w:rPr>
        <w:t>mls</w:t>
      </w:r>
      <w:proofErr w:type="spellEnd"/>
      <w:r w:rsidR="00BB6982" w:rsidRPr="00FE756F">
        <w:rPr>
          <w:rFonts w:ascii="Arial" w:hAnsi="Arial" w:cs="Arial"/>
          <w:sz w:val="22"/>
        </w:rPr>
        <w:t xml:space="preserve"> of alveolar air was collected in separate syringes for analysis by gas chromatography (</w:t>
      </w:r>
      <w:proofErr w:type="spellStart"/>
      <w:r w:rsidR="00BB6982" w:rsidRPr="00FE756F">
        <w:rPr>
          <w:rFonts w:ascii="Arial" w:hAnsi="Arial" w:cs="Arial"/>
          <w:sz w:val="22"/>
        </w:rPr>
        <w:t>Medgraphics</w:t>
      </w:r>
      <w:proofErr w:type="spellEnd"/>
      <w:r w:rsidR="00BB6982" w:rsidRPr="00FE756F">
        <w:rPr>
          <w:rFonts w:ascii="Arial" w:hAnsi="Arial" w:cs="Arial"/>
          <w:sz w:val="22"/>
        </w:rPr>
        <w:t xml:space="preserve"> Profiler, St Paul, MN). The time of breath holding (t) was measured from ½ lung volume inflation to the time at which withdrawal of dead space gas was complete. DL</w:t>
      </w:r>
      <w:r w:rsidR="002C784A" w:rsidRPr="00FE756F">
        <w:rPr>
          <w:rFonts w:ascii="Arial" w:hAnsi="Arial" w:cs="Arial"/>
          <w:sz w:val="22"/>
        </w:rPr>
        <w:t>CO</w:t>
      </w:r>
      <w:r w:rsidR="00BB6982" w:rsidRPr="00FE756F">
        <w:rPr>
          <w:rFonts w:ascii="Arial" w:hAnsi="Arial" w:cs="Arial"/>
          <w:sz w:val="22"/>
        </w:rPr>
        <w:t xml:space="preserve"> was calculated from the equation of (VA × 60/(</w:t>
      </w:r>
      <w:proofErr w:type="spellStart"/>
      <w:r w:rsidR="00BB6982" w:rsidRPr="00FE756F">
        <w:rPr>
          <w:rFonts w:ascii="Arial" w:hAnsi="Arial" w:cs="Arial"/>
          <w:sz w:val="22"/>
        </w:rPr>
        <w:t>Pbar</w:t>
      </w:r>
      <w:proofErr w:type="spellEnd"/>
      <w:r w:rsidR="00BB6982" w:rsidRPr="00FE756F">
        <w:rPr>
          <w:rFonts w:ascii="Arial" w:hAnsi="Arial" w:cs="Arial"/>
          <w:sz w:val="22"/>
        </w:rPr>
        <w:t xml:space="preserve"> – 47) × t)) × (</w:t>
      </w:r>
      <w:proofErr w:type="spellStart"/>
      <w:r w:rsidR="00BB6982" w:rsidRPr="00FE756F">
        <w:rPr>
          <w:rFonts w:ascii="Arial" w:hAnsi="Arial" w:cs="Arial"/>
          <w:sz w:val="22"/>
        </w:rPr>
        <w:t>ln</w:t>
      </w:r>
      <w:proofErr w:type="spellEnd"/>
      <w:r w:rsidR="00BB6982" w:rsidRPr="00FE756F">
        <w:rPr>
          <w:rFonts w:ascii="Arial" w:hAnsi="Arial" w:cs="Arial"/>
          <w:sz w:val="22"/>
        </w:rPr>
        <w:t xml:space="preserve"> </w:t>
      </w:r>
      <w:proofErr w:type="spellStart"/>
      <w:r w:rsidR="00BB6982" w:rsidRPr="00FE756F">
        <w:rPr>
          <w:rFonts w:ascii="Arial" w:hAnsi="Arial" w:cs="Arial"/>
          <w:sz w:val="22"/>
        </w:rPr>
        <w:t>PACOi</w:t>
      </w:r>
      <w:proofErr w:type="spellEnd"/>
      <w:r w:rsidR="00BB6982" w:rsidRPr="00FE756F">
        <w:rPr>
          <w:rFonts w:ascii="Arial" w:hAnsi="Arial" w:cs="Arial"/>
          <w:sz w:val="22"/>
        </w:rPr>
        <w:t>/</w:t>
      </w:r>
      <w:proofErr w:type="spellStart"/>
      <w:r w:rsidR="00BB6982" w:rsidRPr="00FE756F">
        <w:rPr>
          <w:rFonts w:ascii="Arial" w:hAnsi="Arial" w:cs="Arial"/>
          <w:sz w:val="22"/>
        </w:rPr>
        <w:t>PACOt</w:t>
      </w:r>
      <w:proofErr w:type="spellEnd"/>
      <w:r w:rsidR="00BB6982" w:rsidRPr="00FE756F">
        <w:rPr>
          <w:rFonts w:ascii="Arial" w:hAnsi="Arial" w:cs="Arial"/>
          <w:sz w:val="22"/>
        </w:rPr>
        <w:t>)</w:t>
      </w:r>
      <w:r w:rsidR="00BB6982" w:rsidRPr="00FE756F">
        <w:rPr>
          <w:rFonts w:ascii="Arial" w:hAnsi="Arial" w:cs="Arial"/>
          <w:sz w:val="22"/>
        </w:rPr>
        <w:fldChar w:fldCharType="begin"/>
      </w:r>
      <w:r w:rsidR="00662447" w:rsidRPr="00FE756F">
        <w:rPr>
          <w:rFonts w:ascii="Arial" w:hAnsi="Arial" w:cs="Arial"/>
          <w:sz w:val="22"/>
        </w:rPr>
        <w:instrText xml:space="preserve"> ADDIN REFMGR.CITE &lt;Refman&gt;&lt;Cite&gt;&lt;Author&gt;George&lt;/Author&gt;&lt;Year&gt;2005&lt;/Year&gt;&lt;RecNum&gt;40339&lt;/RecNum&gt;&lt;IDText&gt;Chest Medicine: Essentials of Pulmonary and Critical Care Medicine&lt;/IDText&gt;&lt;MDL Ref_Type="Book, Whole"&gt;&lt;Ref_Type&gt;Book, Whole&lt;/Ref_Type&gt;&lt;Ref_ID&gt;40339&lt;/Ref_ID&gt;&lt;Title_Primary&gt;Chest Medicine: Essentials of Pulmonary and Critical Care Medicine&lt;/Title_Primary&gt;&lt;Date_Primary&gt;2005&lt;/Date_Primary&gt;&lt;Reprint&gt;Not in File&lt;/Reprint&gt;&lt;Volume&gt;Fifth&lt;/Volume&gt;&lt;Authors_Secondary&gt;George,R.B.&lt;/Authors_Secondary&gt;&lt;Authors_Secondary&gt;Light,R.W.&lt;/Authors_Secondary&gt;&lt;Authors_Secondary&gt;Matthay,M.A.&lt;/Authors_Secondary&gt;&lt;Authors_Secondary&gt;Matthay,R.A.&lt;/Authors_Secondary&gt;&lt;Pub_Place&gt;Philadelphia, PA&lt;/Pub_Place&gt;&lt;Publisher&gt;Lippincott Wiliams &amp;amp; Wilkins&lt;/Publisher&gt;&lt;ZZ_WorkformID&gt;2&lt;/ZZ_WorkformID&gt;&lt;/MDL&gt;&lt;/Cite&gt;&lt;/Refman&gt;</w:instrText>
      </w:r>
      <w:r w:rsidR="00BB6982" w:rsidRPr="00FE756F">
        <w:rPr>
          <w:rFonts w:ascii="Arial" w:hAnsi="Arial" w:cs="Arial"/>
          <w:sz w:val="22"/>
        </w:rPr>
        <w:fldChar w:fldCharType="separate"/>
      </w:r>
      <w:r w:rsidR="00662447" w:rsidRPr="00FE756F">
        <w:rPr>
          <w:rFonts w:ascii="Arial" w:hAnsi="Arial" w:cs="Arial"/>
          <w:noProof/>
          <w:sz w:val="22"/>
        </w:rPr>
        <w:t>[42]</w:t>
      </w:r>
      <w:r w:rsidR="00BB6982" w:rsidRPr="00FE756F">
        <w:rPr>
          <w:rFonts w:ascii="Arial" w:hAnsi="Arial" w:cs="Arial"/>
          <w:sz w:val="22"/>
        </w:rPr>
        <w:fldChar w:fldCharType="end"/>
      </w:r>
      <w:r w:rsidR="00BB6982" w:rsidRPr="00FE756F">
        <w:rPr>
          <w:rFonts w:ascii="Arial" w:hAnsi="Arial" w:cs="Arial"/>
          <w:sz w:val="22"/>
        </w:rPr>
        <w:t xml:space="preserve"> and corrected for hemoglobin concentration. Alveolar volume (VA) was calculated from the inspired and expired neon fractions and the inflation volume.</w:t>
      </w:r>
    </w:p>
    <w:p w:rsidR="00277D47" w:rsidRPr="00FE756F" w:rsidRDefault="00277D47" w:rsidP="00C231C0">
      <w:pPr>
        <w:spacing w:line="480" w:lineRule="auto"/>
        <w:rPr>
          <w:rFonts w:ascii="Arial" w:eastAsia="MS Mincho" w:hAnsi="Arial" w:cs="Arial"/>
          <w:b/>
          <w:bCs/>
          <w:sz w:val="22"/>
        </w:rPr>
      </w:pPr>
    </w:p>
    <w:p w:rsidR="00277D47" w:rsidRPr="00FE756F" w:rsidRDefault="00BB6982" w:rsidP="00C231C0">
      <w:pPr>
        <w:spacing w:line="480" w:lineRule="auto"/>
        <w:rPr>
          <w:rFonts w:ascii="Arial" w:eastAsia="MS Mincho" w:hAnsi="Arial" w:cs="Arial"/>
          <w:b/>
          <w:bCs/>
          <w:sz w:val="22"/>
        </w:rPr>
      </w:pPr>
      <w:r w:rsidRPr="00FE756F">
        <w:rPr>
          <w:rFonts w:ascii="Arial" w:eastAsia="MS Mincho" w:hAnsi="Arial" w:cs="Arial"/>
          <w:b/>
          <w:bCs/>
          <w:sz w:val="22"/>
        </w:rPr>
        <w:t xml:space="preserve">Canine </w:t>
      </w:r>
      <w:r w:rsidR="00277D47" w:rsidRPr="00FE756F">
        <w:rPr>
          <w:rFonts w:ascii="Arial" w:eastAsia="MS Mincho" w:hAnsi="Arial" w:cs="Arial"/>
          <w:b/>
          <w:bCs/>
          <w:sz w:val="22"/>
        </w:rPr>
        <w:t>c</w:t>
      </w:r>
      <w:r w:rsidRPr="00FE756F">
        <w:rPr>
          <w:rFonts w:ascii="Arial" w:eastAsia="MS Mincho" w:hAnsi="Arial" w:cs="Arial"/>
          <w:b/>
          <w:bCs/>
          <w:sz w:val="22"/>
        </w:rPr>
        <w:t xml:space="preserve">hest CT </w:t>
      </w:r>
      <w:r w:rsidR="00277D47" w:rsidRPr="00FE756F">
        <w:rPr>
          <w:rFonts w:ascii="Arial" w:eastAsia="MS Mincho" w:hAnsi="Arial" w:cs="Arial"/>
          <w:b/>
          <w:bCs/>
          <w:sz w:val="22"/>
        </w:rPr>
        <w:t>s</w:t>
      </w:r>
      <w:r w:rsidRPr="00FE756F">
        <w:rPr>
          <w:rFonts w:ascii="Arial" w:eastAsia="MS Mincho" w:hAnsi="Arial" w:cs="Arial"/>
          <w:b/>
          <w:bCs/>
          <w:sz w:val="22"/>
        </w:rPr>
        <w:t>can</w:t>
      </w:r>
    </w:p>
    <w:p w:rsidR="00BB6982" w:rsidRPr="00FE756F" w:rsidRDefault="008F6AAF" w:rsidP="00C231C0">
      <w:pPr>
        <w:spacing w:line="480" w:lineRule="auto"/>
        <w:rPr>
          <w:rFonts w:ascii="Arial" w:hAnsi="Arial" w:cs="Arial"/>
          <w:sz w:val="22"/>
        </w:rPr>
      </w:pPr>
      <w:r w:rsidRPr="00FE756F">
        <w:rPr>
          <w:rFonts w:ascii="Arial" w:hAnsi="Arial" w:cs="Arial"/>
          <w:sz w:val="22"/>
        </w:rPr>
        <w:tab/>
      </w:r>
      <w:r w:rsidR="00BB6982" w:rsidRPr="00FE756F">
        <w:rPr>
          <w:rFonts w:ascii="Arial" w:hAnsi="Arial" w:cs="Arial"/>
          <w:sz w:val="22"/>
        </w:rPr>
        <w:t>The anesthetized animal was intubated and then placed in the supine position in a v-trough so that the ventral side of the animal was facing upward and the hind quarters were closest to the CT gantry. A Harvard piston ventilator (pressure limit 20 cm H</w:t>
      </w:r>
      <w:r w:rsidR="00BB6982" w:rsidRPr="00FE756F">
        <w:rPr>
          <w:rFonts w:ascii="Arial" w:hAnsi="Arial" w:cs="Arial"/>
          <w:sz w:val="22"/>
          <w:vertAlign w:val="subscript"/>
        </w:rPr>
        <w:t>2</w:t>
      </w:r>
      <w:r w:rsidR="00BB6982" w:rsidRPr="00FE756F">
        <w:rPr>
          <w:rFonts w:ascii="Arial" w:hAnsi="Arial" w:cs="Arial"/>
          <w:sz w:val="22"/>
        </w:rPr>
        <w:t>O) was used to ventilate the intubated dog with 30% O</w:t>
      </w:r>
      <w:r w:rsidR="00BB6982" w:rsidRPr="00FE756F">
        <w:rPr>
          <w:rFonts w:ascii="Arial" w:hAnsi="Arial" w:cs="Arial"/>
          <w:sz w:val="22"/>
          <w:vertAlign w:val="subscript"/>
        </w:rPr>
        <w:t>2</w:t>
      </w:r>
      <w:r w:rsidR="00BB6982" w:rsidRPr="00FE756F">
        <w:rPr>
          <w:rFonts w:ascii="Arial" w:hAnsi="Arial" w:cs="Arial"/>
          <w:sz w:val="22"/>
        </w:rPr>
        <w:t xml:space="preserve"> during the CT procedure. The dog’s airway pressure, end tidal CO</w:t>
      </w:r>
      <w:r w:rsidR="00BB6982" w:rsidRPr="00FE756F">
        <w:rPr>
          <w:rFonts w:ascii="Arial" w:hAnsi="Arial" w:cs="Arial"/>
          <w:sz w:val="22"/>
          <w:vertAlign w:val="subscript"/>
        </w:rPr>
        <w:t>2</w:t>
      </w:r>
      <w:r w:rsidR="00BB6982" w:rsidRPr="00FE756F">
        <w:rPr>
          <w:rFonts w:ascii="Arial" w:hAnsi="Arial" w:cs="Arial"/>
          <w:sz w:val="22"/>
        </w:rPr>
        <w:t>, O</w:t>
      </w:r>
      <w:r w:rsidR="00BB6982" w:rsidRPr="00FE756F">
        <w:rPr>
          <w:rFonts w:ascii="Arial" w:hAnsi="Arial" w:cs="Arial"/>
          <w:sz w:val="22"/>
          <w:vertAlign w:val="subscript"/>
        </w:rPr>
        <w:t>2</w:t>
      </w:r>
      <w:r w:rsidR="00BB6982" w:rsidRPr="00FE756F">
        <w:rPr>
          <w:rFonts w:ascii="Arial" w:hAnsi="Arial" w:cs="Arial"/>
          <w:sz w:val="22"/>
        </w:rPr>
        <w:t>sat, and temperature were monitored throughout the procedure. The dog was connected to the ventilator through one side of a 4-way valve. One of the three remaining ports of the 4-way valve was connected back to the ventilator and set to an end expiratory pressure (PEEP, 3 cm H</w:t>
      </w:r>
      <w:r w:rsidR="00BB6982" w:rsidRPr="00FE756F">
        <w:rPr>
          <w:rFonts w:ascii="Arial" w:hAnsi="Arial" w:cs="Arial"/>
          <w:sz w:val="22"/>
          <w:vertAlign w:val="subscript"/>
        </w:rPr>
        <w:t>2</w:t>
      </w:r>
      <w:r w:rsidR="00BB6982" w:rsidRPr="00FE756F">
        <w:rPr>
          <w:rFonts w:ascii="Arial" w:hAnsi="Arial" w:cs="Arial"/>
          <w:sz w:val="22"/>
        </w:rPr>
        <w:t>O) by a pressure-limiting valve. End expiratory pressure was raised to 10 cm H</w:t>
      </w:r>
      <w:r w:rsidR="00BB6982" w:rsidRPr="00FE756F">
        <w:rPr>
          <w:rFonts w:ascii="Arial" w:hAnsi="Arial" w:cs="Arial"/>
          <w:sz w:val="22"/>
          <w:vertAlign w:val="subscript"/>
        </w:rPr>
        <w:t>2</w:t>
      </w:r>
      <w:r w:rsidR="00BB6982" w:rsidRPr="00FE756F">
        <w:rPr>
          <w:rFonts w:ascii="Arial" w:hAnsi="Arial" w:cs="Arial"/>
          <w:sz w:val="22"/>
        </w:rPr>
        <w:t>O for 10-15 breaths to recruit lung volume and minimize atelectasis. The third port was connected to a static pressure source, while the remaining port was connected to a respiratory bag to enable continuous cycling of the ventilator when the circuit was closed to the endotracheal tube. To obtain a CT scan at end inspiration, the 4-way valve was rotated such that the dog’s lung was held at the set static pressure ~15-16 cm H</w:t>
      </w:r>
      <w:r w:rsidR="00BB6982" w:rsidRPr="00FE756F">
        <w:rPr>
          <w:rFonts w:ascii="Arial" w:hAnsi="Arial" w:cs="Arial"/>
          <w:sz w:val="22"/>
          <w:vertAlign w:val="subscript"/>
        </w:rPr>
        <w:t>2</w:t>
      </w:r>
      <w:r w:rsidR="00BB6982" w:rsidRPr="00FE756F">
        <w:rPr>
          <w:rFonts w:ascii="Arial" w:hAnsi="Arial" w:cs="Arial"/>
          <w:sz w:val="22"/>
        </w:rPr>
        <w:t xml:space="preserve">O and the ventilator ventilated the respiratory bag. </w:t>
      </w:r>
      <w:r w:rsidR="00BB6982" w:rsidRPr="00FE756F">
        <w:rPr>
          <w:rFonts w:ascii="Arial" w:hAnsi="Arial" w:cs="Arial"/>
          <w:sz w:val="22"/>
        </w:rPr>
        <w:lastRenderedPageBreak/>
        <w:t>The animal was permitted a rest period of at least 5 minutes between scans, during which time normal ventilation occurred. To obtain a CT scan at end expiration, the 4-way valve was rotated such that the dog’s lung was held at the set static pressure of PEEP (0 cm H</w:t>
      </w:r>
      <w:r w:rsidR="00BB6982" w:rsidRPr="00FE756F">
        <w:rPr>
          <w:rFonts w:ascii="Arial" w:hAnsi="Arial" w:cs="Arial"/>
          <w:sz w:val="22"/>
          <w:vertAlign w:val="subscript"/>
        </w:rPr>
        <w:t>2</w:t>
      </w:r>
      <w:r w:rsidR="00BB6982" w:rsidRPr="00FE756F">
        <w:rPr>
          <w:rFonts w:ascii="Arial" w:hAnsi="Arial" w:cs="Arial"/>
          <w:sz w:val="22"/>
        </w:rPr>
        <w:t>O) and the ventilator ventilated the respiratory bag. After completing the expiratory images, the CT images were visualized and assessed to assure adequate quality. If the CT images are judged to be of inadequate quality, then the image acquisition maneuvers were repeated.</w:t>
      </w:r>
    </w:p>
    <w:p w:rsidR="00BB6982" w:rsidRPr="00FE756F" w:rsidRDefault="00BB6982" w:rsidP="000442F1">
      <w:pPr>
        <w:spacing w:line="480" w:lineRule="auto"/>
        <w:rPr>
          <w:rFonts w:ascii="Arial" w:hAnsi="Arial" w:cs="Arial"/>
          <w:sz w:val="22"/>
        </w:rPr>
      </w:pPr>
    </w:p>
    <w:p w:rsidR="00277D47" w:rsidRPr="00FE756F" w:rsidRDefault="00BB6982" w:rsidP="0027453D">
      <w:pPr>
        <w:spacing w:line="480" w:lineRule="auto"/>
        <w:rPr>
          <w:rFonts w:ascii="Arial" w:hAnsi="Arial" w:cs="Arial"/>
          <w:b/>
          <w:sz w:val="22"/>
        </w:rPr>
      </w:pPr>
      <w:r w:rsidRPr="00FE756F">
        <w:rPr>
          <w:rFonts w:ascii="Arial" w:hAnsi="Arial" w:cs="Arial"/>
          <w:b/>
          <w:sz w:val="22"/>
        </w:rPr>
        <w:t xml:space="preserve">Immune </w:t>
      </w:r>
      <w:proofErr w:type="spellStart"/>
      <w:r w:rsidR="00277D47" w:rsidRPr="00FE756F">
        <w:rPr>
          <w:rFonts w:ascii="Arial" w:hAnsi="Arial" w:cs="Arial"/>
          <w:b/>
          <w:sz w:val="22"/>
        </w:rPr>
        <w:t>h</w:t>
      </w:r>
      <w:r w:rsidRPr="00FE756F">
        <w:rPr>
          <w:rFonts w:ascii="Arial" w:hAnsi="Arial" w:cs="Arial"/>
          <w:b/>
          <w:sz w:val="22"/>
        </w:rPr>
        <w:t>istochemistry</w:t>
      </w:r>
      <w:proofErr w:type="spellEnd"/>
      <w:r w:rsidRPr="00FE756F">
        <w:rPr>
          <w:rFonts w:ascii="Arial" w:hAnsi="Arial" w:cs="Arial"/>
          <w:b/>
          <w:sz w:val="22"/>
        </w:rPr>
        <w:t xml:space="preserve"> (IHC) of </w:t>
      </w:r>
      <w:r w:rsidR="00277D47" w:rsidRPr="00FE756F">
        <w:rPr>
          <w:rFonts w:ascii="Arial" w:hAnsi="Arial" w:cs="Arial"/>
          <w:b/>
          <w:sz w:val="22"/>
        </w:rPr>
        <w:t>thyroid transcription factor</w:t>
      </w:r>
      <w:r w:rsidRPr="00FE756F">
        <w:rPr>
          <w:rFonts w:ascii="Arial" w:hAnsi="Arial" w:cs="Arial"/>
          <w:b/>
          <w:sz w:val="22"/>
        </w:rPr>
        <w:t xml:space="preserve">-1 (TTF-1) </w:t>
      </w:r>
      <w:r w:rsidR="00277D47" w:rsidRPr="00FE756F">
        <w:rPr>
          <w:rFonts w:ascii="Arial" w:hAnsi="Arial" w:cs="Arial"/>
          <w:b/>
          <w:sz w:val="22"/>
        </w:rPr>
        <w:t>positive cells</w:t>
      </w:r>
    </w:p>
    <w:p w:rsidR="00BB6982" w:rsidRPr="00FE756F" w:rsidRDefault="008F6AAF" w:rsidP="0027453D">
      <w:pPr>
        <w:spacing w:line="480" w:lineRule="auto"/>
        <w:rPr>
          <w:rFonts w:ascii="Arial" w:hAnsi="Arial" w:cs="Arial"/>
          <w:sz w:val="22"/>
        </w:rPr>
      </w:pPr>
      <w:r w:rsidRPr="00FE756F">
        <w:rPr>
          <w:rFonts w:ascii="Arial" w:hAnsi="Arial" w:cs="Arial"/>
          <w:sz w:val="22"/>
        </w:rPr>
        <w:tab/>
      </w:r>
      <w:r w:rsidR="00BB6982" w:rsidRPr="00FE756F">
        <w:rPr>
          <w:rFonts w:ascii="Arial" w:hAnsi="Arial" w:cs="Arial"/>
          <w:sz w:val="22"/>
        </w:rPr>
        <w:t xml:space="preserve">The Experimental Histopathology Laboratory of the Shared Resources at the Fred Hutchinson Cancer Research Center (FHCRC) performed IHC to detect TTF-1+ cells in the lung biopsies. Lung tissue was immediately fixed in 10% neutral buffered formalin, then processed and embedded in paraffin. Sections (5 </w:t>
      </w:r>
      <w:proofErr w:type="spellStart"/>
      <w:r w:rsidR="00BB6982" w:rsidRPr="00FE756F">
        <w:rPr>
          <w:rFonts w:ascii="Arial" w:hAnsi="Arial" w:cs="Arial"/>
          <w:sz w:val="22"/>
        </w:rPr>
        <w:t>μm</w:t>
      </w:r>
      <w:proofErr w:type="spellEnd"/>
      <w:r w:rsidR="00BB6982" w:rsidRPr="00FE756F">
        <w:rPr>
          <w:rFonts w:ascii="Arial" w:hAnsi="Arial" w:cs="Arial"/>
          <w:sz w:val="22"/>
        </w:rPr>
        <w:t>) were de-</w:t>
      </w:r>
      <w:proofErr w:type="spellStart"/>
      <w:r w:rsidR="00BB6982" w:rsidRPr="00FE756F">
        <w:rPr>
          <w:rFonts w:ascii="Arial" w:hAnsi="Arial" w:cs="Arial"/>
          <w:sz w:val="22"/>
        </w:rPr>
        <w:t>paraffinized</w:t>
      </w:r>
      <w:proofErr w:type="spellEnd"/>
      <w:r w:rsidR="00BB6982" w:rsidRPr="00FE756F">
        <w:rPr>
          <w:rFonts w:ascii="Arial" w:hAnsi="Arial" w:cs="Arial"/>
          <w:sz w:val="22"/>
        </w:rPr>
        <w:t xml:space="preserve"> and rehydrated in distilled water. Heat-induced epitope retrieval was then performed with a Citrate-based 0.05% Tween20 solution (pH 6.0, </w:t>
      </w:r>
      <w:proofErr w:type="spellStart"/>
      <w:r w:rsidR="00BB6982" w:rsidRPr="00FE756F">
        <w:rPr>
          <w:rFonts w:ascii="Arial" w:hAnsi="Arial" w:cs="Arial"/>
          <w:sz w:val="22"/>
        </w:rPr>
        <w:t>Dako</w:t>
      </w:r>
      <w:proofErr w:type="spellEnd"/>
      <w:r w:rsidR="00BB6982" w:rsidRPr="00FE756F">
        <w:rPr>
          <w:rFonts w:ascii="Arial" w:hAnsi="Arial" w:cs="Arial"/>
          <w:sz w:val="22"/>
        </w:rPr>
        <w:t xml:space="preserve">) for 20 minutes in a steamer, followed by a 20-minute cool down. Slides were washed in </w:t>
      </w:r>
      <w:proofErr w:type="spellStart"/>
      <w:r w:rsidR="00BB6982" w:rsidRPr="00FE756F">
        <w:rPr>
          <w:rFonts w:ascii="Arial" w:hAnsi="Arial" w:cs="Arial"/>
          <w:sz w:val="22"/>
        </w:rPr>
        <w:t>Tris</w:t>
      </w:r>
      <w:proofErr w:type="spellEnd"/>
      <w:r w:rsidR="00BB6982" w:rsidRPr="00FE756F">
        <w:rPr>
          <w:rFonts w:ascii="Arial" w:hAnsi="Arial" w:cs="Arial"/>
          <w:sz w:val="22"/>
        </w:rPr>
        <w:t xml:space="preserve">-based saline containing 0.05% Tween20 (TBS-T) and incubated with 3% hydrogen peroxide for 8 minutes to block endogenous peroxidase activity. The sections were then incubated in 50mM </w:t>
      </w:r>
      <w:proofErr w:type="spellStart"/>
      <w:r w:rsidR="00BB6982" w:rsidRPr="00FE756F">
        <w:rPr>
          <w:rFonts w:ascii="Arial" w:hAnsi="Arial" w:cs="Arial"/>
          <w:sz w:val="22"/>
        </w:rPr>
        <w:t>Tris-HCl</w:t>
      </w:r>
      <w:proofErr w:type="spellEnd"/>
      <w:r w:rsidR="00BB6982" w:rsidRPr="00FE756F">
        <w:rPr>
          <w:rFonts w:ascii="Arial" w:hAnsi="Arial" w:cs="Arial"/>
          <w:sz w:val="22"/>
        </w:rPr>
        <w:t xml:space="preserve">, pH7.6, containing 0.15M </w:t>
      </w:r>
      <w:proofErr w:type="spellStart"/>
      <w:r w:rsidR="00BB6982" w:rsidRPr="00FE756F">
        <w:rPr>
          <w:rFonts w:ascii="Arial" w:hAnsi="Arial" w:cs="Arial"/>
          <w:sz w:val="22"/>
        </w:rPr>
        <w:t>NaCl</w:t>
      </w:r>
      <w:proofErr w:type="spellEnd"/>
      <w:r w:rsidR="00BB6982" w:rsidRPr="00FE756F">
        <w:rPr>
          <w:rFonts w:ascii="Arial" w:hAnsi="Arial" w:cs="Arial"/>
          <w:sz w:val="22"/>
        </w:rPr>
        <w:t xml:space="preserve">, 0.25% (w/w) casein and 0.1% Tween 20 for 10 minutes to block non-specific protein binding. They were incubated with anti-TFF-1 antibodies (rabbit monoclonal, </w:t>
      </w:r>
      <w:proofErr w:type="spellStart"/>
      <w:r w:rsidR="00BB6982" w:rsidRPr="00FE756F">
        <w:rPr>
          <w:rFonts w:ascii="Arial" w:hAnsi="Arial" w:cs="Arial"/>
          <w:sz w:val="22"/>
        </w:rPr>
        <w:t>Epitomics</w:t>
      </w:r>
      <w:proofErr w:type="spellEnd"/>
      <w:r w:rsidR="00BB6982" w:rsidRPr="00FE756F">
        <w:rPr>
          <w:rFonts w:ascii="Arial" w:hAnsi="Arial" w:cs="Arial"/>
          <w:sz w:val="22"/>
        </w:rPr>
        <w:t xml:space="preserve">) or a concentration matched control rabbit </w:t>
      </w:r>
      <w:proofErr w:type="spellStart"/>
      <w:r w:rsidR="00BB6982" w:rsidRPr="00FE756F">
        <w:rPr>
          <w:rFonts w:ascii="Arial" w:hAnsi="Arial" w:cs="Arial"/>
          <w:sz w:val="22"/>
        </w:rPr>
        <w:t>IgG</w:t>
      </w:r>
      <w:proofErr w:type="spellEnd"/>
      <w:r w:rsidR="00BB6982" w:rsidRPr="00FE756F">
        <w:rPr>
          <w:rFonts w:ascii="Arial" w:hAnsi="Arial" w:cs="Arial"/>
          <w:sz w:val="22"/>
        </w:rPr>
        <w:t xml:space="preserve"> as a negative control. Slides were washed with TBS-T, incubated with secondary antibodies (Mach2 rabbit HRP) for 30 minutes, washed again, and then incubated further in DAB for 4 minutes twice. Nuclei were counter-stained with </w:t>
      </w:r>
      <w:proofErr w:type="spellStart"/>
      <w:r w:rsidR="00BB6982" w:rsidRPr="00FE756F">
        <w:rPr>
          <w:rFonts w:ascii="Arial" w:hAnsi="Arial" w:cs="Arial"/>
          <w:sz w:val="22"/>
        </w:rPr>
        <w:t>hematoxylin</w:t>
      </w:r>
      <w:proofErr w:type="spellEnd"/>
      <w:r w:rsidR="00BB6982" w:rsidRPr="00FE756F">
        <w:rPr>
          <w:rFonts w:ascii="Arial" w:hAnsi="Arial" w:cs="Arial"/>
          <w:sz w:val="22"/>
        </w:rPr>
        <w:t xml:space="preserve"> before cover-slipped with Crystal mount.</w:t>
      </w:r>
    </w:p>
    <w:p w:rsidR="00BB6982" w:rsidRPr="00FE756F" w:rsidRDefault="00BB6982" w:rsidP="00C03E99">
      <w:pPr>
        <w:spacing w:line="480" w:lineRule="auto"/>
        <w:rPr>
          <w:rFonts w:ascii="Arial" w:hAnsi="Arial" w:cs="Arial"/>
          <w:b/>
          <w:sz w:val="22"/>
        </w:rPr>
      </w:pPr>
    </w:p>
    <w:p w:rsidR="00277D47" w:rsidRPr="00FE756F" w:rsidRDefault="00BB6982" w:rsidP="000442F1">
      <w:pPr>
        <w:spacing w:line="480" w:lineRule="auto"/>
        <w:rPr>
          <w:rFonts w:ascii="Arial" w:hAnsi="Arial" w:cs="Arial"/>
          <w:b/>
          <w:sz w:val="22"/>
        </w:rPr>
      </w:pPr>
      <w:r w:rsidRPr="00FE756F">
        <w:rPr>
          <w:rFonts w:ascii="Arial" w:hAnsi="Arial" w:cs="Arial"/>
          <w:b/>
          <w:sz w:val="22"/>
        </w:rPr>
        <w:t xml:space="preserve">Immune </w:t>
      </w:r>
      <w:proofErr w:type="spellStart"/>
      <w:r w:rsidR="00277D47" w:rsidRPr="00FE756F">
        <w:rPr>
          <w:rFonts w:ascii="Arial" w:hAnsi="Arial" w:cs="Arial"/>
          <w:b/>
          <w:sz w:val="22"/>
        </w:rPr>
        <w:t>h</w:t>
      </w:r>
      <w:r w:rsidRPr="00FE756F">
        <w:rPr>
          <w:rFonts w:ascii="Arial" w:hAnsi="Arial" w:cs="Arial"/>
          <w:b/>
          <w:sz w:val="22"/>
        </w:rPr>
        <w:t>istochemistry</w:t>
      </w:r>
      <w:proofErr w:type="spellEnd"/>
      <w:r w:rsidRPr="00FE756F">
        <w:rPr>
          <w:rFonts w:ascii="Arial" w:hAnsi="Arial" w:cs="Arial"/>
          <w:b/>
          <w:sz w:val="22"/>
        </w:rPr>
        <w:t xml:space="preserve"> (IHC) of </w:t>
      </w:r>
      <w:r w:rsidR="00277D47" w:rsidRPr="00FE756F">
        <w:rPr>
          <w:rFonts w:ascii="Arial" w:hAnsi="Arial" w:cs="Arial"/>
          <w:b/>
          <w:sz w:val="22"/>
        </w:rPr>
        <w:t>v</w:t>
      </w:r>
      <w:r w:rsidRPr="00FE756F">
        <w:rPr>
          <w:rFonts w:ascii="Arial" w:hAnsi="Arial" w:cs="Arial"/>
          <w:b/>
          <w:sz w:val="22"/>
        </w:rPr>
        <w:t xml:space="preserve">on </w:t>
      </w:r>
      <w:proofErr w:type="spellStart"/>
      <w:r w:rsidRPr="00FE756F">
        <w:rPr>
          <w:rFonts w:ascii="Arial" w:hAnsi="Arial" w:cs="Arial"/>
          <w:b/>
          <w:sz w:val="22"/>
        </w:rPr>
        <w:t>Willebrand</w:t>
      </w:r>
      <w:proofErr w:type="spellEnd"/>
      <w:r w:rsidRPr="00FE756F">
        <w:rPr>
          <w:rFonts w:ascii="Arial" w:hAnsi="Arial" w:cs="Arial"/>
          <w:b/>
          <w:sz w:val="22"/>
        </w:rPr>
        <w:t xml:space="preserve"> </w:t>
      </w:r>
      <w:r w:rsidR="00277D47" w:rsidRPr="00FE756F">
        <w:rPr>
          <w:rFonts w:ascii="Arial" w:hAnsi="Arial" w:cs="Arial"/>
          <w:b/>
          <w:sz w:val="22"/>
        </w:rPr>
        <w:t>f</w:t>
      </w:r>
      <w:r w:rsidRPr="00FE756F">
        <w:rPr>
          <w:rFonts w:ascii="Arial" w:hAnsi="Arial" w:cs="Arial"/>
          <w:b/>
          <w:sz w:val="22"/>
        </w:rPr>
        <w:t>actor (</w:t>
      </w:r>
      <w:proofErr w:type="spellStart"/>
      <w:r w:rsidRPr="00FE756F">
        <w:rPr>
          <w:rFonts w:ascii="Arial" w:hAnsi="Arial" w:cs="Arial"/>
          <w:b/>
          <w:sz w:val="22"/>
        </w:rPr>
        <w:t>vWF</w:t>
      </w:r>
      <w:proofErr w:type="spellEnd"/>
      <w:r w:rsidRPr="00FE756F">
        <w:rPr>
          <w:rFonts w:ascii="Arial" w:hAnsi="Arial" w:cs="Arial"/>
          <w:b/>
          <w:sz w:val="22"/>
        </w:rPr>
        <w:t xml:space="preserve">) </w:t>
      </w:r>
      <w:r w:rsidR="00277D47" w:rsidRPr="00FE756F">
        <w:rPr>
          <w:rFonts w:ascii="Arial" w:hAnsi="Arial" w:cs="Arial"/>
          <w:b/>
          <w:sz w:val="22"/>
        </w:rPr>
        <w:t>positive endothelial cells</w:t>
      </w:r>
    </w:p>
    <w:p w:rsidR="00BB6982" w:rsidRPr="00FE756F" w:rsidRDefault="008F6AAF" w:rsidP="000442F1">
      <w:pPr>
        <w:spacing w:line="480" w:lineRule="auto"/>
        <w:rPr>
          <w:rFonts w:ascii="Arial" w:hAnsi="Arial" w:cs="Arial"/>
          <w:sz w:val="22"/>
        </w:rPr>
      </w:pPr>
      <w:r w:rsidRPr="00FE756F">
        <w:rPr>
          <w:rFonts w:ascii="Arial" w:hAnsi="Arial" w:cs="Arial"/>
          <w:sz w:val="22"/>
        </w:rPr>
        <w:lastRenderedPageBreak/>
        <w:tab/>
      </w:r>
      <w:r w:rsidR="00BB6982" w:rsidRPr="00FE756F">
        <w:rPr>
          <w:rFonts w:ascii="Arial" w:hAnsi="Arial" w:cs="Arial"/>
          <w:sz w:val="22"/>
        </w:rPr>
        <w:t xml:space="preserve">The Experimental Histopathology Laboratory of the Shared Resources at the Fred Hutchinson Cancer Research Center (FHCRC) performed IHC to detect </w:t>
      </w:r>
      <w:proofErr w:type="spellStart"/>
      <w:r w:rsidR="00BB6982" w:rsidRPr="00FE756F">
        <w:rPr>
          <w:rFonts w:ascii="Arial" w:hAnsi="Arial" w:cs="Arial"/>
          <w:sz w:val="22"/>
        </w:rPr>
        <w:t>vWF</w:t>
      </w:r>
      <w:proofErr w:type="spellEnd"/>
      <w:r w:rsidR="00BB6982" w:rsidRPr="00FE756F">
        <w:rPr>
          <w:rFonts w:ascii="Arial" w:hAnsi="Arial" w:cs="Arial"/>
          <w:sz w:val="22"/>
        </w:rPr>
        <w:t xml:space="preserve">+ cells in the lung biopsies. Lung biopsies were immediately fixed, processed, embedded in paraffin, and cut in 5 </w:t>
      </w:r>
      <w:proofErr w:type="spellStart"/>
      <w:r w:rsidR="00BB6982" w:rsidRPr="00FE756F">
        <w:rPr>
          <w:rFonts w:ascii="Arial" w:hAnsi="Arial" w:cs="Arial"/>
          <w:sz w:val="22"/>
        </w:rPr>
        <w:t>μm</w:t>
      </w:r>
      <w:proofErr w:type="spellEnd"/>
      <w:r w:rsidR="00BB6982" w:rsidRPr="00FE756F">
        <w:rPr>
          <w:rFonts w:ascii="Arial" w:hAnsi="Arial" w:cs="Arial"/>
          <w:sz w:val="22"/>
        </w:rPr>
        <w:t xml:space="preserve"> sections as described above. After epitope retrieval, slides were incubated with 3% hydrogen peroxide to block endogenous peroxidase activity, and then incubated in TBS buffer containing 0.25% (w/w) casein and 0.1% Tween 20 to block non-specific protein binding. They were incubated with anti-</w:t>
      </w:r>
      <w:proofErr w:type="spellStart"/>
      <w:r w:rsidR="00BB6982" w:rsidRPr="00FE756F">
        <w:rPr>
          <w:rFonts w:ascii="Arial" w:hAnsi="Arial" w:cs="Arial"/>
          <w:sz w:val="22"/>
        </w:rPr>
        <w:t>vWF</w:t>
      </w:r>
      <w:proofErr w:type="spellEnd"/>
      <w:r w:rsidR="00BB6982" w:rsidRPr="00FE756F">
        <w:rPr>
          <w:rFonts w:ascii="Arial" w:hAnsi="Arial" w:cs="Arial"/>
          <w:sz w:val="22"/>
        </w:rPr>
        <w:t xml:space="preserve"> antibodies (rabbit polyclonal, </w:t>
      </w:r>
      <w:proofErr w:type="spellStart"/>
      <w:r w:rsidR="00BB6982" w:rsidRPr="00FE756F">
        <w:rPr>
          <w:rFonts w:ascii="Arial" w:hAnsi="Arial" w:cs="Arial"/>
          <w:sz w:val="22"/>
        </w:rPr>
        <w:t>Dako</w:t>
      </w:r>
      <w:proofErr w:type="spellEnd"/>
      <w:r w:rsidR="00BB6982" w:rsidRPr="00FE756F">
        <w:rPr>
          <w:rFonts w:ascii="Arial" w:hAnsi="Arial" w:cs="Arial"/>
          <w:sz w:val="22"/>
        </w:rPr>
        <w:t xml:space="preserve">, </w:t>
      </w:r>
      <w:proofErr w:type="spellStart"/>
      <w:r w:rsidR="00BB6982" w:rsidRPr="00FE756F">
        <w:rPr>
          <w:rFonts w:ascii="Arial" w:hAnsi="Arial" w:cs="Arial"/>
          <w:sz w:val="22"/>
        </w:rPr>
        <w:t>Glostrup</w:t>
      </w:r>
      <w:proofErr w:type="spellEnd"/>
      <w:r w:rsidR="00BB6982" w:rsidRPr="00FE756F">
        <w:rPr>
          <w:rFonts w:ascii="Arial" w:hAnsi="Arial" w:cs="Arial"/>
          <w:sz w:val="22"/>
        </w:rPr>
        <w:t xml:space="preserve">, Denmark) or a concentration-matched control rabbit </w:t>
      </w:r>
      <w:proofErr w:type="spellStart"/>
      <w:r w:rsidR="00BB6982" w:rsidRPr="00FE756F">
        <w:rPr>
          <w:rFonts w:ascii="Arial" w:hAnsi="Arial" w:cs="Arial"/>
          <w:sz w:val="22"/>
        </w:rPr>
        <w:t>IgG</w:t>
      </w:r>
      <w:proofErr w:type="spellEnd"/>
      <w:r w:rsidR="00BB6982" w:rsidRPr="00FE756F">
        <w:rPr>
          <w:rFonts w:ascii="Arial" w:hAnsi="Arial" w:cs="Arial"/>
          <w:sz w:val="22"/>
        </w:rPr>
        <w:t xml:space="preserve"> as a negative control. Slides were washed, incubated with secondary antibodies (Mach2 rabbit HRP, </w:t>
      </w:r>
      <w:proofErr w:type="spellStart"/>
      <w:r w:rsidR="00BB6982" w:rsidRPr="00FE756F">
        <w:rPr>
          <w:rFonts w:ascii="Arial" w:hAnsi="Arial" w:cs="Arial"/>
          <w:sz w:val="22"/>
        </w:rPr>
        <w:t>Biocare</w:t>
      </w:r>
      <w:proofErr w:type="spellEnd"/>
      <w:r w:rsidR="00BB6982" w:rsidRPr="00FE756F">
        <w:rPr>
          <w:rFonts w:ascii="Arial" w:hAnsi="Arial" w:cs="Arial"/>
          <w:sz w:val="22"/>
        </w:rPr>
        <w:t xml:space="preserve"> Medical, Concord, CA) for 30 minutes, washed again, and then incubated further in DAB for 4 minutes twice. Nuclei were counter-stained with </w:t>
      </w:r>
      <w:proofErr w:type="spellStart"/>
      <w:r w:rsidR="00BB6982" w:rsidRPr="00FE756F">
        <w:rPr>
          <w:rFonts w:ascii="Arial" w:hAnsi="Arial" w:cs="Arial"/>
          <w:sz w:val="22"/>
        </w:rPr>
        <w:t>hematoxylin</w:t>
      </w:r>
      <w:proofErr w:type="spellEnd"/>
      <w:r w:rsidR="00BB6982" w:rsidRPr="00FE756F">
        <w:rPr>
          <w:rFonts w:ascii="Arial" w:hAnsi="Arial" w:cs="Arial"/>
          <w:sz w:val="22"/>
        </w:rPr>
        <w:t xml:space="preserve"> before being cover-slipped with Crystal mount. Cells were imaged as described above.</w:t>
      </w:r>
    </w:p>
    <w:p w:rsidR="00277D47" w:rsidRPr="00FE756F" w:rsidRDefault="00277D47" w:rsidP="001635DC">
      <w:pPr>
        <w:spacing w:line="480" w:lineRule="auto"/>
        <w:rPr>
          <w:rFonts w:ascii="Arial" w:hAnsi="Arial" w:cs="Arial"/>
          <w:b/>
          <w:sz w:val="22"/>
        </w:rPr>
      </w:pPr>
    </w:p>
    <w:p w:rsidR="00277D47" w:rsidRPr="00FE756F" w:rsidRDefault="00BB6982" w:rsidP="001635DC">
      <w:pPr>
        <w:spacing w:line="480" w:lineRule="auto"/>
        <w:rPr>
          <w:rFonts w:ascii="Arial" w:hAnsi="Arial" w:cs="Arial"/>
          <w:b/>
          <w:sz w:val="22"/>
        </w:rPr>
      </w:pPr>
      <w:r w:rsidRPr="00FE756F">
        <w:rPr>
          <w:rFonts w:ascii="Arial" w:hAnsi="Arial" w:cs="Arial"/>
          <w:b/>
          <w:sz w:val="22"/>
        </w:rPr>
        <w:t>Semi-</w:t>
      </w:r>
      <w:r w:rsidR="00277D47" w:rsidRPr="00FE756F">
        <w:rPr>
          <w:rFonts w:ascii="Arial" w:hAnsi="Arial" w:cs="Arial"/>
          <w:b/>
          <w:sz w:val="22"/>
        </w:rPr>
        <w:t xml:space="preserve">quantitative reverse transcriptase-polymerase chain reaction </w:t>
      </w:r>
      <w:r w:rsidRPr="00FE756F">
        <w:rPr>
          <w:rFonts w:ascii="Arial" w:hAnsi="Arial" w:cs="Arial"/>
          <w:b/>
          <w:sz w:val="22"/>
        </w:rPr>
        <w:t>(RT-PCR)</w:t>
      </w:r>
    </w:p>
    <w:p w:rsidR="00BB6982" w:rsidRPr="00FE756F" w:rsidRDefault="008F6AAF" w:rsidP="001635DC">
      <w:pPr>
        <w:spacing w:line="480" w:lineRule="auto"/>
        <w:rPr>
          <w:rFonts w:ascii="Arial" w:hAnsi="Arial" w:cs="Arial"/>
          <w:sz w:val="22"/>
        </w:rPr>
      </w:pPr>
      <w:r w:rsidRPr="00FE756F">
        <w:rPr>
          <w:rFonts w:ascii="Arial" w:hAnsi="Arial" w:cs="Arial"/>
          <w:sz w:val="22"/>
        </w:rPr>
        <w:tab/>
      </w:r>
      <w:r w:rsidR="00BB6982" w:rsidRPr="00FE756F">
        <w:rPr>
          <w:rFonts w:ascii="Arial" w:hAnsi="Arial" w:cs="Arial"/>
          <w:sz w:val="22"/>
        </w:rPr>
        <w:t xml:space="preserve">Total RNA was purified using </w:t>
      </w:r>
      <w:proofErr w:type="spellStart"/>
      <w:r w:rsidR="00BB6982" w:rsidRPr="00FE756F">
        <w:rPr>
          <w:rFonts w:ascii="Arial" w:hAnsi="Arial" w:cs="Arial"/>
          <w:sz w:val="22"/>
        </w:rPr>
        <w:t>RNeasy</w:t>
      </w:r>
      <w:proofErr w:type="spellEnd"/>
      <w:r w:rsidR="00BB6982" w:rsidRPr="00FE756F">
        <w:rPr>
          <w:rFonts w:ascii="Arial" w:hAnsi="Arial" w:cs="Arial"/>
          <w:sz w:val="22"/>
        </w:rPr>
        <w:t xml:space="preserve"> spin column (</w:t>
      </w:r>
      <w:proofErr w:type="spellStart"/>
      <w:r w:rsidR="00BB6982" w:rsidRPr="00FE756F">
        <w:rPr>
          <w:rFonts w:ascii="Arial" w:hAnsi="Arial" w:cs="Arial"/>
          <w:sz w:val="22"/>
        </w:rPr>
        <w:t>Qiagen</w:t>
      </w:r>
      <w:proofErr w:type="spellEnd"/>
      <w:r w:rsidR="00BB6982" w:rsidRPr="00FE756F">
        <w:rPr>
          <w:rFonts w:ascii="Arial" w:hAnsi="Arial" w:cs="Arial"/>
          <w:sz w:val="22"/>
        </w:rPr>
        <w:t xml:space="preserve">, Valencia, CA) and treated with </w:t>
      </w:r>
      <w:proofErr w:type="spellStart"/>
      <w:r w:rsidR="00BB6982" w:rsidRPr="00FE756F">
        <w:rPr>
          <w:rFonts w:ascii="Arial" w:hAnsi="Arial" w:cs="Arial"/>
          <w:sz w:val="22"/>
        </w:rPr>
        <w:t>RNase</w:t>
      </w:r>
      <w:proofErr w:type="spellEnd"/>
      <w:r w:rsidR="00BB6982" w:rsidRPr="00FE756F">
        <w:rPr>
          <w:rFonts w:ascii="Arial" w:hAnsi="Arial" w:cs="Arial"/>
          <w:sz w:val="22"/>
        </w:rPr>
        <w:t xml:space="preserve">-free </w:t>
      </w:r>
      <w:proofErr w:type="spellStart"/>
      <w:r w:rsidR="00BB6982" w:rsidRPr="00FE756F">
        <w:rPr>
          <w:rFonts w:ascii="Arial" w:hAnsi="Arial" w:cs="Arial"/>
          <w:sz w:val="22"/>
        </w:rPr>
        <w:t>DNase</w:t>
      </w:r>
      <w:proofErr w:type="spellEnd"/>
      <w:r w:rsidR="00BB6982" w:rsidRPr="00FE756F">
        <w:rPr>
          <w:rFonts w:ascii="Arial" w:hAnsi="Arial" w:cs="Arial"/>
          <w:sz w:val="22"/>
        </w:rPr>
        <w:t xml:space="preserve"> (</w:t>
      </w:r>
      <w:proofErr w:type="spellStart"/>
      <w:r w:rsidR="00BB6982" w:rsidRPr="00FE756F">
        <w:rPr>
          <w:rFonts w:ascii="Arial" w:hAnsi="Arial" w:cs="Arial"/>
          <w:sz w:val="22"/>
        </w:rPr>
        <w:t>Qiagen</w:t>
      </w:r>
      <w:proofErr w:type="spellEnd"/>
      <w:r w:rsidR="00BB6982" w:rsidRPr="00FE756F">
        <w:rPr>
          <w:rFonts w:ascii="Arial" w:hAnsi="Arial" w:cs="Arial"/>
          <w:sz w:val="22"/>
        </w:rPr>
        <w:t xml:space="preserve">) according to the manufacturer’s protocol. Samples were then reverse-transcribed into </w:t>
      </w:r>
      <w:proofErr w:type="spellStart"/>
      <w:r w:rsidR="00BB6982" w:rsidRPr="00FE756F">
        <w:rPr>
          <w:rFonts w:ascii="Arial" w:hAnsi="Arial" w:cs="Arial"/>
          <w:sz w:val="22"/>
        </w:rPr>
        <w:t>cDNA</w:t>
      </w:r>
      <w:proofErr w:type="spellEnd"/>
      <w:r w:rsidR="00BB6982" w:rsidRPr="00FE756F">
        <w:rPr>
          <w:rFonts w:ascii="Arial" w:hAnsi="Arial" w:cs="Arial"/>
          <w:sz w:val="22"/>
        </w:rPr>
        <w:t xml:space="preserve"> with an </w:t>
      </w:r>
      <w:proofErr w:type="spellStart"/>
      <w:r w:rsidR="00BB6982" w:rsidRPr="00FE756F">
        <w:rPr>
          <w:rFonts w:ascii="Arial" w:hAnsi="Arial" w:cs="Arial"/>
          <w:sz w:val="22"/>
        </w:rPr>
        <w:t>oligo</w:t>
      </w:r>
      <w:proofErr w:type="spellEnd"/>
      <w:r w:rsidR="00BB6982" w:rsidRPr="00FE756F">
        <w:rPr>
          <w:rFonts w:ascii="Arial" w:hAnsi="Arial" w:cs="Arial"/>
          <w:sz w:val="22"/>
        </w:rPr>
        <w:t xml:space="preserve"> dT</w:t>
      </w:r>
      <w:r w:rsidR="00BB6982" w:rsidRPr="00FE756F">
        <w:rPr>
          <w:rFonts w:ascii="Arial" w:hAnsi="Arial" w:cs="Arial"/>
          <w:sz w:val="22"/>
          <w:vertAlign w:val="subscript"/>
        </w:rPr>
        <w:t>12-18</w:t>
      </w:r>
      <w:r w:rsidR="00BB6982" w:rsidRPr="00FE756F">
        <w:rPr>
          <w:rFonts w:ascii="Arial" w:hAnsi="Arial" w:cs="Arial"/>
          <w:sz w:val="22"/>
        </w:rPr>
        <w:t xml:space="preserve"> primer and Superscript II reverse transcriptase (Invitrogen, Carlsbad, CA) by incubating for 2 hours at 42</w:t>
      </w:r>
      <w:r w:rsidR="00BB6982" w:rsidRPr="00FE756F">
        <w:rPr>
          <w:rFonts w:ascii="Arial" w:hAnsi="Arial" w:cs="Arial"/>
          <w:sz w:val="22"/>
          <w:vertAlign w:val="superscript"/>
        </w:rPr>
        <w:t>o</w:t>
      </w:r>
      <w:r w:rsidR="00BB6982" w:rsidRPr="00FE756F">
        <w:rPr>
          <w:rFonts w:ascii="Arial" w:hAnsi="Arial" w:cs="Arial"/>
          <w:sz w:val="22"/>
        </w:rPr>
        <w:t>C, followed by the termination of the reaction by heat inactivation (65</w:t>
      </w:r>
      <w:r w:rsidR="00BB6982" w:rsidRPr="00FE756F">
        <w:rPr>
          <w:rFonts w:ascii="Arial" w:hAnsi="Arial" w:cs="Arial"/>
          <w:sz w:val="22"/>
          <w:vertAlign w:val="superscript"/>
        </w:rPr>
        <w:t>o</w:t>
      </w:r>
      <w:r w:rsidR="00BB6982" w:rsidRPr="00FE756F">
        <w:rPr>
          <w:rFonts w:ascii="Arial" w:hAnsi="Arial" w:cs="Arial"/>
          <w:sz w:val="22"/>
        </w:rPr>
        <w:t>C, 20 minutes). Primers for dog transcripts are listed in Table S2</w:t>
      </w:r>
    </w:p>
    <w:p w:rsidR="00BB6982" w:rsidRPr="00FE756F" w:rsidRDefault="00BB6982" w:rsidP="000442F1">
      <w:pPr>
        <w:spacing w:line="480" w:lineRule="auto"/>
        <w:rPr>
          <w:rFonts w:ascii="Arial" w:hAnsi="Arial" w:cs="Arial"/>
          <w:sz w:val="22"/>
        </w:rPr>
      </w:pPr>
      <w:r w:rsidRPr="00FE756F">
        <w:rPr>
          <w:rFonts w:ascii="Arial" w:hAnsi="Arial" w:cs="Arial"/>
          <w:sz w:val="22"/>
        </w:rPr>
        <w:br w:type="page"/>
      </w:r>
    </w:p>
    <w:p w:rsidR="00BB6982" w:rsidRPr="00FE756F" w:rsidRDefault="00BB6982" w:rsidP="001D4705">
      <w:pPr>
        <w:spacing w:line="480" w:lineRule="auto"/>
        <w:rPr>
          <w:rFonts w:ascii="Arial" w:hAnsi="Arial" w:cs="Arial"/>
          <w:b/>
          <w:sz w:val="22"/>
        </w:rPr>
      </w:pPr>
      <w:r w:rsidRPr="00FE756F">
        <w:rPr>
          <w:rFonts w:ascii="Arial" w:hAnsi="Arial" w:cs="Arial"/>
          <w:b/>
          <w:sz w:val="22"/>
        </w:rPr>
        <w:lastRenderedPageBreak/>
        <w:t>S</w:t>
      </w:r>
      <w:r w:rsidR="004B3E06" w:rsidRPr="00FE756F">
        <w:rPr>
          <w:rFonts w:ascii="Arial" w:hAnsi="Arial" w:cs="Arial"/>
          <w:b/>
          <w:sz w:val="22"/>
        </w:rPr>
        <w:t xml:space="preserve">upplemental </w:t>
      </w:r>
      <w:r w:rsidRPr="00FE756F">
        <w:rPr>
          <w:rFonts w:ascii="Arial" w:hAnsi="Arial" w:cs="Arial"/>
          <w:b/>
          <w:sz w:val="22"/>
        </w:rPr>
        <w:t>Figures and Tables</w:t>
      </w:r>
    </w:p>
    <w:p w:rsidR="00BB6982" w:rsidRPr="00FE756F" w:rsidRDefault="00BB6982" w:rsidP="001D4705">
      <w:pPr>
        <w:spacing w:line="480" w:lineRule="auto"/>
        <w:rPr>
          <w:rFonts w:ascii="Arial" w:hAnsi="Arial" w:cs="Arial"/>
          <w:b/>
          <w:sz w:val="22"/>
        </w:rPr>
      </w:pPr>
      <w:r w:rsidRPr="00FE756F">
        <w:rPr>
          <w:rFonts w:ascii="Arial" w:hAnsi="Arial" w:cs="Arial"/>
          <w:b/>
          <w:sz w:val="22"/>
        </w:rPr>
        <w:t>Table S1. Demographics of the dogs</w:t>
      </w:r>
    </w:p>
    <w:tbl>
      <w:tblPr>
        <w:tblW w:w="9602" w:type="dxa"/>
        <w:tblInd w:w="93" w:type="dxa"/>
        <w:tblLook w:val="04A0" w:firstRow="1" w:lastRow="0" w:firstColumn="1" w:lastColumn="0" w:noHBand="0" w:noVBand="1"/>
      </w:tblPr>
      <w:tblGrid>
        <w:gridCol w:w="1162"/>
        <w:gridCol w:w="954"/>
        <w:gridCol w:w="2125"/>
        <w:gridCol w:w="2363"/>
        <w:gridCol w:w="2998"/>
      </w:tblGrid>
      <w:tr w:rsidR="00FE756F" w:rsidRPr="00FE756F" w:rsidTr="004E06F4">
        <w:trPr>
          <w:trHeight w:val="255"/>
        </w:trPr>
        <w:tc>
          <w:tcPr>
            <w:tcW w:w="1162" w:type="dxa"/>
            <w:tcBorders>
              <w:top w:val="nil"/>
              <w:left w:val="nil"/>
              <w:bottom w:val="single" w:sz="4" w:space="0" w:color="auto"/>
              <w:right w:val="nil"/>
            </w:tcBorders>
            <w:shd w:val="clear" w:color="auto" w:fill="auto"/>
            <w:noWrap/>
            <w:vAlign w:val="bottom"/>
            <w:hideMark/>
          </w:tcPr>
          <w:p w:rsidR="00172C4C" w:rsidRPr="00FE756F" w:rsidRDefault="00172C4C">
            <w:pPr>
              <w:rPr>
                <w:rFonts w:ascii="Arial" w:hAnsi="Arial" w:cs="Arial"/>
                <w:sz w:val="20"/>
                <w:szCs w:val="20"/>
              </w:rPr>
            </w:pPr>
            <w:r w:rsidRPr="00FE756F">
              <w:rPr>
                <w:rFonts w:ascii="Arial" w:hAnsi="Arial" w:cs="Arial"/>
                <w:sz w:val="20"/>
                <w:szCs w:val="20"/>
              </w:rPr>
              <w:t> </w:t>
            </w:r>
          </w:p>
        </w:tc>
        <w:tc>
          <w:tcPr>
            <w:tcW w:w="954" w:type="dxa"/>
            <w:tcBorders>
              <w:top w:val="nil"/>
              <w:left w:val="nil"/>
              <w:bottom w:val="single" w:sz="4" w:space="0" w:color="auto"/>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 </w:t>
            </w:r>
          </w:p>
        </w:tc>
        <w:tc>
          <w:tcPr>
            <w:tcW w:w="2125" w:type="dxa"/>
            <w:tcBorders>
              <w:top w:val="nil"/>
              <w:left w:val="nil"/>
              <w:bottom w:val="single" w:sz="4" w:space="0" w:color="auto"/>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 </w:t>
            </w:r>
          </w:p>
        </w:tc>
        <w:tc>
          <w:tcPr>
            <w:tcW w:w="2363" w:type="dxa"/>
            <w:tcBorders>
              <w:top w:val="nil"/>
              <w:left w:val="nil"/>
              <w:bottom w:val="single" w:sz="4" w:space="0" w:color="auto"/>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 </w:t>
            </w:r>
          </w:p>
        </w:tc>
        <w:tc>
          <w:tcPr>
            <w:tcW w:w="2998" w:type="dxa"/>
            <w:tcBorders>
              <w:top w:val="nil"/>
              <w:left w:val="nil"/>
              <w:bottom w:val="single" w:sz="4" w:space="0" w:color="auto"/>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 </w:t>
            </w:r>
          </w:p>
        </w:tc>
      </w:tr>
      <w:tr w:rsidR="00FE756F" w:rsidRPr="00FE756F" w:rsidTr="004E06F4">
        <w:trPr>
          <w:trHeight w:val="255"/>
        </w:trPr>
        <w:tc>
          <w:tcPr>
            <w:tcW w:w="1162" w:type="dxa"/>
            <w:tcBorders>
              <w:top w:val="nil"/>
              <w:left w:val="nil"/>
              <w:bottom w:val="single" w:sz="4" w:space="0" w:color="auto"/>
              <w:right w:val="nil"/>
            </w:tcBorders>
            <w:shd w:val="clear" w:color="auto" w:fill="auto"/>
            <w:noWrap/>
            <w:vAlign w:val="bottom"/>
            <w:hideMark/>
          </w:tcPr>
          <w:p w:rsidR="00172C4C" w:rsidRPr="00FE756F" w:rsidRDefault="00172C4C">
            <w:pPr>
              <w:rPr>
                <w:rFonts w:ascii="Arial" w:hAnsi="Arial" w:cs="Arial"/>
                <w:sz w:val="20"/>
                <w:szCs w:val="20"/>
              </w:rPr>
            </w:pPr>
            <w:r w:rsidRPr="00FE756F">
              <w:rPr>
                <w:rFonts w:ascii="Arial" w:hAnsi="Arial" w:cs="Arial"/>
                <w:sz w:val="20"/>
                <w:szCs w:val="20"/>
              </w:rPr>
              <w:t>Recipient</w:t>
            </w:r>
          </w:p>
        </w:tc>
        <w:tc>
          <w:tcPr>
            <w:tcW w:w="954" w:type="dxa"/>
            <w:tcBorders>
              <w:top w:val="nil"/>
              <w:left w:val="nil"/>
              <w:bottom w:val="single" w:sz="4" w:space="0" w:color="auto"/>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Sex</w:t>
            </w:r>
          </w:p>
        </w:tc>
        <w:tc>
          <w:tcPr>
            <w:tcW w:w="2125" w:type="dxa"/>
            <w:tcBorders>
              <w:top w:val="nil"/>
              <w:left w:val="nil"/>
              <w:bottom w:val="single" w:sz="4" w:space="0" w:color="auto"/>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Age at irradiation (Mo)</w:t>
            </w:r>
          </w:p>
        </w:tc>
        <w:tc>
          <w:tcPr>
            <w:tcW w:w="2363" w:type="dxa"/>
            <w:tcBorders>
              <w:top w:val="nil"/>
              <w:left w:val="nil"/>
              <w:bottom w:val="single" w:sz="4" w:space="0" w:color="auto"/>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Weight at irradiation (Kg)</w:t>
            </w:r>
          </w:p>
        </w:tc>
        <w:tc>
          <w:tcPr>
            <w:tcW w:w="2998" w:type="dxa"/>
            <w:tcBorders>
              <w:top w:val="nil"/>
              <w:left w:val="nil"/>
              <w:bottom w:val="single" w:sz="4" w:space="0" w:color="auto"/>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DRB allele</w:t>
            </w:r>
          </w:p>
        </w:tc>
      </w:tr>
      <w:tr w:rsidR="00FE756F" w:rsidRPr="00FE756F" w:rsidTr="004E06F4">
        <w:trPr>
          <w:trHeight w:val="255"/>
        </w:trPr>
        <w:tc>
          <w:tcPr>
            <w:tcW w:w="1162" w:type="dxa"/>
            <w:tcBorders>
              <w:top w:val="nil"/>
              <w:left w:val="nil"/>
              <w:bottom w:val="nil"/>
              <w:right w:val="nil"/>
            </w:tcBorders>
            <w:shd w:val="clear" w:color="auto" w:fill="auto"/>
            <w:noWrap/>
            <w:vAlign w:val="bottom"/>
            <w:hideMark/>
          </w:tcPr>
          <w:p w:rsidR="00172C4C" w:rsidRPr="00FE756F" w:rsidRDefault="00172C4C">
            <w:pPr>
              <w:rPr>
                <w:rFonts w:ascii="Arial" w:hAnsi="Arial" w:cs="Arial"/>
                <w:sz w:val="20"/>
                <w:szCs w:val="20"/>
              </w:rPr>
            </w:pPr>
          </w:p>
        </w:tc>
        <w:tc>
          <w:tcPr>
            <w:tcW w:w="954"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p>
        </w:tc>
        <w:tc>
          <w:tcPr>
            <w:tcW w:w="2125"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p>
        </w:tc>
        <w:tc>
          <w:tcPr>
            <w:tcW w:w="2363"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p>
        </w:tc>
        <w:tc>
          <w:tcPr>
            <w:tcW w:w="2998"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p>
        </w:tc>
      </w:tr>
      <w:tr w:rsidR="00FE756F" w:rsidRPr="00FE756F" w:rsidTr="004E06F4">
        <w:trPr>
          <w:trHeight w:val="255"/>
        </w:trPr>
        <w:tc>
          <w:tcPr>
            <w:tcW w:w="4241" w:type="dxa"/>
            <w:gridSpan w:val="3"/>
            <w:tcBorders>
              <w:top w:val="nil"/>
              <w:left w:val="nil"/>
              <w:bottom w:val="nil"/>
              <w:right w:val="nil"/>
            </w:tcBorders>
            <w:shd w:val="clear" w:color="auto" w:fill="auto"/>
            <w:noWrap/>
            <w:vAlign w:val="bottom"/>
            <w:hideMark/>
          </w:tcPr>
          <w:p w:rsidR="00172C4C" w:rsidRPr="00FE756F" w:rsidRDefault="00172C4C">
            <w:pPr>
              <w:rPr>
                <w:rFonts w:ascii="Arial" w:hAnsi="Arial" w:cs="Arial"/>
                <w:sz w:val="20"/>
                <w:szCs w:val="20"/>
              </w:rPr>
            </w:pPr>
            <w:r w:rsidRPr="00FE756F">
              <w:rPr>
                <w:rFonts w:ascii="Arial" w:hAnsi="Arial" w:cs="Arial"/>
                <w:sz w:val="20"/>
                <w:szCs w:val="20"/>
              </w:rPr>
              <w:t>Dogs with DS-1 infusion</w:t>
            </w:r>
          </w:p>
        </w:tc>
        <w:tc>
          <w:tcPr>
            <w:tcW w:w="2363"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p>
        </w:tc>
        <w:tc>
          <w:tcPr>
            <w:tcW w:w="2998"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p>
        </w:tc>
      </w:tr>
      <w:tr w:rsidR="00FE756F" w:rsidRPr="00FE756F" w:rsidTr="004E06F4">
        <w:trPr>
          <w:trHeight w:val="255"/>
        </w:trPr>
        <w:tc>
          <w:tcPr>
            <w:tcW w:w="1162" w:type="dxa"/>
            <w:tcBorders>
              <w:top w:val="nil"/>
              <w:left w:val="nil"/>
              <w:bottom w:val="nil"/>
              <w:right w:val="nil"/>
            </w:tcBorders>
            <w:shd w:val="clear" w:color="auto" w:fill="auto"/>
            <w:noWrap/>
            <w:vAlign w:val="bottom"/>
            <w:hideMark/>
          </w:tcPr>
          <w:p w:rsidR="00172C4C" w:rsidRPr="00FE756F" w:rsidRDefault="00172C4C">
            <w:pPr>
              <w:rPr>
                <w:rFonts w:ascii="Arial" w:hAnsi="Arial" w:cs="Arial"/>
                <w:sz w:val="20"/>
                <w:szCs w:val="20"/>
              </w:rPr>
            </w:pPr>
            <w:r w:rsidRPr="00FE756F">
              <w:rPr>
                <w:rFonts w:ascii="Arial" w:hAnsi="Arial" w:cs="Arial"/>
                <w:sz w:val="20"/>
                <w:szCs w:val="20"/>
              </w:rPr>
              <w:t>H303</w:t>
            </w:r>
          </w:p>
        </w:tc>
        <w:tc>
          <w:tcPr>
            <w:tcW w:w="954"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F</w:t>
            </w:r>
          </w:p>
        </w:tc>
        <w:tc>
          <w:tcPr>
            <w:tcW w:w="2125"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15.9</w:t>
            </w:r>
          </w:p>
        </w:tc>
        <w:tc>
          <w:tcPr>
            <w:tcW w:w="2363"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13.0</w:t>
            </w:r>
          </w:p>
        </w:tc>
        <w:tc>
          <w:tcPr>
            <w:tcW w:w="2998"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DRB1*006:01, DRB1*015:01</w:t>
            </w:r>
          </w:p>
        </w:tc>
      </w:tr>
      <w:tr w:rsidR="00FE756F" w:rsidRPr="00FE756F" w:rsidTr="004E06F4">
        <w:trPr>
          <w:trHeight w:val="255"/>
        </w:trPr>
        <w:tc>
          <w:tcPr>
            <w:tcW w:w="1162" w:type="dxa"/>
            <w:tcBorders>
              <w:top w:val="nil"/>
              <w:left w:val="nil"/>
              <w:bottom w:val="nil"/>
              <w:right w:val="nil"/>
            </w:tcBorders>
            <w:shd w:val="clear" w:color="auto" w:fill="auto"/>
            <w:noWrap/>
            <w:vAlign w:val="bottom"/>
            <w:hideMark/>
          </w:tcPr>
          <w:p w:rsidR="00172C4C" w:rsidRPr="00FE756F" w:rsidRDefault="00172C4C">
            <w:pPr>
              <w:rPr>
                <w:rFonts w:ascii="Arial" w:hAnsi="Arial" w:cs="Arial"/>
                <w:sz w:val="20"/>
                <w:szCs w:val="20"/>
              </w:rPr>
            </w:pPr>
            <w:r w:rsidRPr="00FE756F">
              <w:rPr>
                <w:rFonts w:ascii="Arial" w:hAnsi="Arial" w:cs="Arial"/>
                <w:sz w:val="20"/>
                <w:szCs w:val="20"/>
              </w:rPr>
              <w:t>H332</w:t>
            </w:r>
          </w:p>
        </w:tc>
        <w:tc>
          <w:tcPr>
            <w:tcW w:w="954"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M</w:t>
            </w:r>
          </w:p>
        </w:tc>
        <w:tc>
          <w:tcPr>
            <w:tcW w:w="2125"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10.5</w:t>
            </w:r>
          </w:p>
        </w:tc>
        <w:tc>
          <w:tcPr>
            <w:tcW w:w="2363"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11.9</w:t>
            </w:r>
          </w:p>
        </w:tc>
        <w:tc>
          <w:tcPr>
            <w:tcW w:w="2998"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DRB1*001:02, DRB1*006:01</w:t>
            </w:r>
          </w:p>
        </w:tc>
      </w:tr>
      <w:tr w:rsidR="00FE756F" w:rsidRPr="00FE756F" w:rsidTr="004E06F4">
        <w:trPr>
          <w:trHeight w:val="255"/>
        </w:trPr>
        <w:tc>
          <w:tcPr>
            <w:tcW w:w="1162" w:type="dxa"/>
            <w:tcBorders>
              <w:top w:val="nil"/>
              <w:left w:val="nil"/>
              <w:bottom w:val="nil"/>
              <w:right w:val="nil"/>
            </w:tcBorders>
            <w:shd w:val="clear" w:color="auto" w:fill="auto"/>
            <w:noWrap/>
            <w:vAlign w:val="bottom"/>
            <w:hideMark/>
          </w:tcPr>
          <w:p w:rsidR="00172C4C" w:rsidRPr="00FE756F" w:rsidRDefault="00172C4C">
            <w:pPr>
              <w:rPr>
                <w:rFonts w:ascii="Arial" w:hAnsi="Arial" w:cs="Arial"/>
                <w:sz w:val="20"/>
                <w:szCs w:val="20"/>
              </w:rPr>
            </w:pPr>
            <w:r w:rsidRPr="00FE756F">
              <w:rPr>
                <w:rFonts w:ascii="Arial" w:hAnsi="Arial" w:cs="Arial"/>
                <w:sz w:val="20"/>
                <w:szCs w:val="20"/>
              </w:rPr>
              <w:t>H336</w:t>
            </w:r>
          </w:p>
        </w:tc>
        <w:tc>
          <w:tcPr>
            <w:tcW w:w="954"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M</w:t>
            </w:r>
          </w:p>
        </w:tc>
        <w:tc>
          <w:tcPr>
            <w:tcW w:w="2125"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15.5</w:t>
            </w:r>
          </w:p>
        </w:tc>
        <w:tc>
          <w:tcPr>
            <w:tcW w:w="2363"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11.0</w:t>
            </w:r>
          </w:p>
        </w:tc>
        <w:tc>
          <w:tcPr>
            <w:tcW w:w="2998"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DRB1*006:01, DRB1*015:01</w:t>
            </w:r>
          </w:p>
        </w:tc>
      </w:tr>
      <w:tr w:rsidR="00FE756F" w:rsidRPr="00FE756F" w:rsidTr="004E06F4">
        <w:trPr>
          <w:trHeight w:val="255"/>
        </w:trPr>
        <w:tc>
          <w:tcPr>
            <w:tcW w:w="1162" w:type="dxa"/>
            <w:tcBorders>
              <w:top w:val="nil"/>
              <w:left w:val="nil"/>
              <w:bottom w:val="nil"/>
              <w:right w:val="nil"/>
            </w:tcBorders>
            <w:shd w:val="clear" w:color="auto" w:fill="auto"/>
            <w:noWrap/>
            <w:vAlign w:val="bottom"/>
            <w:hideMark/>
          </w:tcPr>
          <w:p w:rsidR="00172C4C" w:rsidRPr="00FE756F" w:rsidRDefault="00172C4C">
            <w:pPr>
              <w:rPr>
                <w:rFonts w:ascii="Arial" w:hAnsi="Arial" w:cs="Arial"/>
                <w:sz w:val="20"/>
                <w:szCs w:val="20"/>
              </w:rPr>
            </w:pPr>
            <w:r w:rsidRPr="00FE756F">
              <w:rPr>
                <w:rFonts w:ascii="Arial" w:hAnsi="Arial" w:cs="Arial"/>
                <w:sz w:val="20"/>
                <w:szCs w:val="20"/>
              </w:rPr>
              <w:t>H447</w:t>
            </w:r>
          </w:p>
        </w:tc>
        <w:tc>
          <w:tcPr>
            <w:tcW w:w="954"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F</w:t>
            </w:r>
          </w:p>
        </w:tc>
        <w:tc>
          <w:tcPr>
            <w:tcW w:w="2125"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6.7</w:t>
            </w:r>
          </w:p>
        </w:tc>
        <w:tc>
          <w:tcPr>
            <w:tcW w:w="2363"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12.4</w:t>
            </w:r>
          </w:p>
        </w:tc>
        <w:tc>
          <w:tcPr>
            <w:tcW w:w="2998"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DRB1*001:02, DRB1*009:01</w:t>
            </w:r>
          </w:p>
        </w:tc>
      </w:tr>
      <w:tr w:rsidR="00FE756F" w:rsidRPr="00FE756F" w:rsidTr="004E06F4">
        <w:trPr>
          <w:trHeight w:val="255"/>
        </w:trPr>
        <w:tc>
          <w:tcPr>
            <w:tcW w:w="1162" w:type="dxa"/>
            <w:tcBorders>
              <w:top w:val="nil"/>
              <w:left w:val="nil"/>
              <w:bottom w:val="nil"/>
              <w:right w:val="nil"/>
            </w:tcBorders>
            <w:shd w:val="clear" w:color="auto" w:fill="auto"/>
            <w:noWrap/>
            <w:vAlign w:val="bottom"/>
            <w:hideMark/>
          </w:tcPr>
          <w:p w:rsidR="00172C4C" w:rsidRPr="00FE756F" w:rsidRDefault="00172C4C">
            <w:pPr>
              <w:rPr>
                <w:rFonts w:ascii="Arial" w:hAnsi="Arial" w:cs="Arial"/>
                <w:sz w:val="20"/>
                <w:szCs w:val="20"/>
              </w:rPr>
            </w:pPr>
            <w:r w:rsidRPr="00FE756F">
              <w:rPr>
                <w:rFonts w:ascii="Arial" w:hAnsi="Arial" w:cs="Arial"/>
                <w:sz w:val="20"/>
                <w:szCs w:val="20"/>
              </w:rPr>
              <w:t>H450</w:t>
            </w:r>
          </w:p>
        </w:tc>
        <w:tc>
          <w:tcPr>
            <w:tcW w:w="954"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M</w:t>
            </w:r>
          </w:p>
        </w:tc>
        <w:tc>
          <w:tcPr>
            <w:tcW w:w="2125"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8.6</w:t>
            </w:r>
          </w:p>
        </w:tc>
        <w:tc>
          <w:tcPr>
            <w:tcW w:w="2363"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18.5</w:t>
            </w:r>
          </w:p>
        </w:tc>
        <w:tc>
          <w:tcPr>
            <w:tcW w:w="2998"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DRB1*006:01, DRB1*011:01</w:t>
            </w:r>
          </w:p>
        </w:tc>
      </w:tr>
      <w:tr w:rsidR="00FE756F" w:rsidRPr="00FE756F" w:rsidTr="004E06F4">
        <w:trPr>
          <w:trHeight w:val="255"/>
        </w:trPr>
        <w:tc>
          <w:tcPr>
            <w:tcW w:w="1162" w:type="dxa"/>
            <w:tcBorders>
              <w:top w:val="nil"/>
              <w:left w:val="nil"/>
              <w:bottom w:val="nil"/>
              <w:right w:val="nil"/>
            </w:tcBorders>
            <w:shd w:val="clear" w:color="auto" w:fill="auto"/>
            <w:noWrap/>
            <w:vAlign w:val="bottom"/>
            <w:hideMark/>
          </w:tcPr>
          <w:p w:rsidR="00172C4C" w:rsidRPr="00FE756F" w:rsidRDefault="00172C4C">
            <w:pPr>
              <w:rPr>
                <w:rFonts w:ascii="Arial" w:hAnsi="Arial" w:cs="Arial"/>
                <w:sz w:val="20"/>
                <w:szCs w:val="20"/>
              </w:rPr>
            </w:pPr>
          </w:p>
        </w:tc>
        <w:tc>
          <w:tcPr>
            <w:tcW w:w="954"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p>
        </w:tc>
        <w:tc>
          <w:tcPr>
            <w:tcW w:w="2125"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p>
        </w:tc>
        <w:tc>
          <w:tcPr>
            <w:tcW w:w="2363"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p>
        </w:tc>
        <w:tc>
          <w:tcPr>
            <w:tcW w:w="2998"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p>
        </w:tc>
      </w:tr>
      <w:tr w:rsidR="00FE756F" w:rsidRPr="00FE756F" w:rsidTr="004E06F4">
        <w:trPr>
          <w:trHeight w:val="255"/>
        </w:trPr>
        <w:tc>
          <w:tcPr>
            <w:tcW w:w="2116" w:type="dxa"/>
            <w:gridSpan w:val="2"/>
            <w:tcBorders>
              <w:top w:val="nil"/>
              <w:left w:val="nil"/>
              <w:bottom w:val="nil"/>
              <w:right w:val="nil"/>
            </w:tcBorders>
            <w:shd w:val="clear" w:color="auto" w:fill="auto"/>
            <w:noWrap/>
            <w:vAlign w:val="bottom"/>
            <w:hideMark/>
          </w:tcPr>
          <w:p w:rsidR="00172C4C" w:rsidRPr="00FE756F" w:rsidRDefault="00172C4C">
            <w:pPr>
              <w:rPr>
                <w:rFonts w:ascii="Arial" w:hAnsi="Arial" w:cs="Arial"/>
                <w:sz w:val="20"/>
                <w:szCs w:val="20"/>
              </w:rPr>
            </w:pPr>
            <w:r w:rsidRPr="00FE756F">
              <w:rPr>
                <w:rFonts w:ascii="Arial" w:hAnsi="Arial" w:cs="Arial"/>
                <w:sz w:val="20"/>
                <w:szCs w:val="20"/>
              </w:rPr>
              <w:t>Control dogs</w:t>
            </w:r>
          </w:p>
        </w:tc>
        <w:tc>
          <w:tcPr>
            <w:tcW w:w="2125"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p>
        </w:tc>
        <w:tc>
          <w:tcPr>
            <w:tcW w:w="2363"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p>
        </w:tc>
        <w:tc>
          <w:tcPr>
            <w:tcW w:w="2998"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p>
        </w:tc>
      </w:tr>
      <w:tr w:rsidR="00FE756F" w:rsidRPr="00FE756F" w:rsidTr="004E06F4">
        <w:trPr>
          <w:trHeight w:val="255"/>
        </w:trPr>
        <w:tc>
          <w:tcPr>
            <w:tcW w:w="1162" w:type="dxa"/>
            <w:tcBorders>
              <w:top w:val="nil"/>
              <w:left w:val="nil"/>
              <w:bottom w:val="nil"/>
              <w:right w:val="nil"/>
            </w:tcBorders>
            <w:shd w:val="clear" w:color="auto" w:fill="auto"/>
            <w:noWrap/>
            <w:vAlign w:val="bottom"/>
            <w:hideMark/>
          </w:tcPr>
          <w:p w:rsidR="00172C4C" w:rsidRPr="00FE756F" w:rsidRDefault="00172C4C">
            <w:pPr>
              <w:rPr>
                <w:rFonts w:ascii="Arial" w:hAnsi="Arial" w:cs="Arial"/>
                <w:sz w:val="20"/>
                <w:szCs w:val="20"/>
              </w:rPr>
            </w:pPr>
            <w:r w:rsidRPr="00FE756F">
              <w:rPr>
                <w:rFonts w:ascii="Arial" w:hAnsi="Arial" w:cs="Arial"/>
                <w:sz w:val="20"/>
                <w:szCs w:val="20"/>
              </w:rPr>
              <w:t>H065</w:t>
            </w:r>
          </w:p>
        </w:tc>
        <w:tc>
          <w:tcPr>
            <w:tcW w:w="954"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M</w:t>
            </w:r>
          </w:p>
        </w:tc>
        <w:tc>
          <w:tcPr>
            <w:tcW w:w="2125"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23.7</w:t>
            </w:r>
          </w:p>
        </w:tc>
        <w:tc>
          <w:tcPr>
            <w:tcW w:w="2363"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15.7</w:t>
            </w:r>
          </w:p>
        </w:tc>
        <w:tc>
          <w:tcPr>
            <w:tcW w:w="2998"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DRB1*008:01, DRB1*017:01</w:t>
            </w:r>
          </w:p>
        </w:tc>
      </w:tr>
      <w:tr w:rsidR="00FE756F" w:rsidRPr="00FE756F" w:rsidTr="004E06F4">
        <w:trPr>
          <w:trHeight w:val="255"/>
        </w:trPr>
        <w:tc>
          <w:tcPr>
            <w:tcW w:w="1162" w:type="dxa"/>
            <w:tcBorders>
              <w:top w:val="nil"/>
              <w:left w:val="nil"/>
              <w:bottom w:val="nil"/>
              <w:right w:val="nil"/>
            </w:tcBorders>
            <w:shd w:val="clear" w:color="auto" w:fill="auto"/>
            <w:noWrap/>
            <w:vAlign w:val="bottom"/>
            <w:hideMark/>
          </w:tcPr>
          <w:p w:rsidR="00172C4C" w:rsidRPr="00FE756F" w:rsidRDefault="00172C4C">
            <w:pPr>
              <w:rPr>
                <w:rFonts w:ascii="Arial" w:hAnsi="Arial" w:cs="Arial"/>
                <w:sz w:val="20"/>
                <w:szCs w:val="20"/>
              </w:rPr>
            </w:pPr>
            <w:r w:rsidRPr="00FE756F">
              <w:rPr>
                <w:rFonts w:ascii="Arial" w:hAnsi="Arial" w:cs="Arial"/>
                <w:sz w:val="20"/>
                <w:szCs w:val="20"/>
              </w:rPr>
              <w:t>H136</w:t>
            </w:r>
          </w:p>
        </w:tc>
        <w:tc>
          <w:tcPr>
            <w:tcW w:w="954"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M</w:t>
            </w:r>
          </w:p>
        </w:tc>
        <w:tc>
          <w:tcPr>
            <w:tcW w:w="2125"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16.8</w:t>
            </w:r>
          </w:p>
        </w:tc>
        <w:tc>
          <w:tcPr>
            <w:tcW w:w="2363"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11.8</w:t>
            </w:r>
          </w:p>
        </w:tc>
        <w:tc>
          <w:tcPr>
            <w:tcW w:w="2998"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DRB1*019:01, DRB1*024:01</w:t>
            </w:r>
          </w:p>
        </w:tc>
      </w:tr>
      <w:tr w:rsidR="00FE756F" w:rsidRPr="00FE756F" w:rsidTr="004E06F4">
        <w:trPr>
          <w:trHeight w:val="255"/>
        </w:trPr>
        <w:tc>
          <w:tcPr>
            <w:tcW w:w="1162" w:type="dxa"/>
            <w:tcBorders>
              <w:top w:val="nil"/>
              <w:left w:val="nil"/>
              <w:bottom w:val="nil"/>
              <w:right w:val="nil"/>
            </w:tcBorders>
            <w:shd w:val="clear" w:color="auto" w:fill="auto"/>
            <w:noWrap/>
            <w:vAlign w:val="bottom"/>
            <w:hideMark/>
          </w:tcPr>
          <w:p w:rsidR="00172C4C" w:rsidRPr="00FE756F" w:rsidRDefault="00172C4C">
            <w:pPr>
              <w:rPr>
                <w:rFonts w:ascii="Arial" w:hAnsi="Arial" w:cs="Arial"/>
                <w:sz w:val="20"/>
                <w:szCs w:val="20"/>
              </w:rPr>
            </w:pPr>
            <w:r w:rsidRPr="00FE756F">
              <w:rPr>
                <w:rFonts w:ascii="Arial" w:hAnsi="Arial" w:cs="Arial"/>
                <w:sz w:val="20"/>
                <w:szCs w:val="20"/>
              </w:rPr>
              <w:t>H181</w:t>
            </w:r>
          </w:p>
        </w:tc>
        <w:tc>
          <w:tcPr>
            <w:tcW w:w="954"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F</w:t>
            </w:r>
          </w:p>
        </w:tc>
        <w:tc>
          <w:tcPr>
            <w:tcW w:w="2125"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11.9</w:t>
            </w:r>
          </w:p>
        </w:tc>
        <w:tc>
          <w:tcPr>
            <w:tcW w:w="2363"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10.4</w:t>
            </w:r>
          </w:p>
        </w:tc>
        <w:tc>
          <w:tcPr>
            <w:tcW w:w="2998"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DRB1*009:01, DRB1*015:01</w:t>
            </w:r>
          </w:p>
        </w:tc>
      </w:tr>
      <w:tr w:rsidR="00FE756F" w:rsidRPr="00FE756F" w:rsidTr="004E06F4">
        <w:trPr>
          <w:trHeight w:val="255"/>
        </w:trPr>
        <w:tc>
          <w:tcPr>
            <w:tcW w:w="1162" w:type="dxa"/>
            <w:tcBorders>
              <w:top w:val="nil"/>
              <w:left w:val="nil"/>
              <w:bottom w:val="nil"/>
              <w:right w:val="nil"/>
            </w:tcBorders>
            <w:shd w:val="clear" w:color="auto" w:fill="auto"/>
            <w:noWrap/>
            <w:vAlign w:val="bottom"/>
            <w:hideMark/>
          </w:tcPr>
          <w:p w:rsidR="00172C4C" w:rsidRPr="00FE756F" w:rsidRDefault="00172C4C">
            <w:pPr>
              <w:rPr>
                <w:rFonts w:ascii="Arial" w:hAnsi="Arial" w:cs="Arial"/>
                <w:sz w:val="20"/>
                <w:szCs w:val="20"/>
              </w:rPr>
            </w:pPr>
            <w:r w:rsidRPr="00FE756F">
              <w:rPr>
                <w:rFonts w:ascii="Arial" w:hAnsi="Arial" w:cs="Arial"/>
                <w:sz w:val="20"/>
                <w:szCs w:val="20"/>
              </w:rPr>
              <w:t>H202</w:t>
            </w:r>
          </w:p>
        </w:tc>
        <w:tc>
          <w:tcPr>
            <w:tcW w:w="954"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F</w:t>
            </w:r>
          </w:p>
        </w:tc>
        <w:tc>
          <w:tcPr>
            <w:tcW w:w="2125"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8.6</w:t>
            </w:r>
          </w:p>
        </w:tc>
        <w:tc>
          <w:tcPr>
            <w:tcW w:w="2363"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13.8</w:t>
            </w:r>
          </w:p>
        </w:tc>
        <w:tc>
          <w:tcPr>
            <w:tcW w:w="2998"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DRB1*002:01, DRB1*002:01</w:t>
            </w:r>
          </w:p>
        </w:tc>
      </w:tr>
      <w:tr w:rsidR="00FE756F" w:rsidRPr="00FE756F" w:rsidTr="004E06F4">
        <w:trPr>
          <w:trHeight w:val="255"/>
        </w:trPr>
        <w:tc>
          <w:tcPr>
            <w:tcW w:w="1162" w:type="dxa"/>
            <w:tcBorders>
              <w:top w:val="nil"/>
              <w:left w:val="nil"/>
              <w:bottom w:val="nil"/>
              <w:right w:val="nil"/>
            </w:tcBorders>
            <w:shd w:val="clear" w:color="auto" w:fill="auto"/>
            <w:noWrap/>
            <w:vAlign w:val="bottom"/>
            <w:hideMark/>
          </w:tcPr>
          <w:p w:rsidR="00172C4C" w:rsidRPr="00FE756F" w:rsidRDefault="00172C4C">
            <w:pPr>
              <w:rPr>
                <w:rFonts w:ascii="Arial" w:hAnsi="Arial" w:cs="Arial"/>
                <w:sz w:val="20"/>
                <w:szCs w:val="20"/>
              </w:rPr>
            </w:pPr>
            <w:r w:rsidRPr="00FE756F">
              <w:rPr>
                <w:rFonts w:ascii="Arial" w:hAnsi="Arial" w:cs="Arial"/>
                <w:sz w:val="20"/>
                <w:szCs w:val="20"/>
              </w:rPr>
              <w:t>H233</w:t>
            </w:r>
          </w:p>
        </w:tc>
        <w:tc>
          <w:tcPr>
            <w:tcW w:w="954"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M</w:t>
            </w:r>
          </w:p>
        </w:tc>
        <w:tc>
          <w:tcPr>
            <w:tcW w:w="2125"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8.9</w:t>
            </w:r>
          </w:p>
        </w:tc>
        <w:tc>
          <w:tcPr>
            <w:tcW w:w="2363"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10.5</w:t>
            </w:r>
          </w:p>
        </w:tc>
        <w:tc>
          <w:tcPr>
            <w:tcW w:w="2998"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DRB1*006:01, DRB1*015:01</w:t>
            </w:r>
          </w:p>
        </w:tc>
      </w:tr>
      <w:tr w:rsidR="00FE756F" w:rsidRPr="00FE756F" w:rsidTr="004E06F4">
        <w:trPr>
          <w:trHeight w:val="255"/>
        </w:trPr>
        <w:tc>
          <w:tcPr>
            <w:tcW w:w="1162" w:type="dxa"/>
            <w:tcBorders>
              <w:top w:val="nil"/>
              <w:left w:val="nil"/>
              <w:bottom w:val="nil"/>
              <w:right w:val="nil"/>
            </w:tcBorders>
            <w:shd w:val="clear" w:color="auto" w:fill="auto"/>
            <w:noWrap/>
            <w:vAlign w:val="bottom"/>
            <w:hideMark/>
          </w:tcPr>
          <w:p w:rsidR="00172C4C" w:rsidRPr="00FE756F" w:rsidRDefault="00172C4C">
            <w:pPr>
              <w:rPr>
                <w:rFonts w:ascii="Arial" w:hAnsi="Arial" w:cs="Arial"/>
                <w:sz w:val="20"/>
                <w:szCs w:val="20"/>
              </w:rPr>
            </w:pPr>
          </w:p>
        </w:tc>
        <w:tc>
          <w:tcPr>
            <w:tcW w:w="954"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p>
        </w:tc>
        <w:tc>
          <w:tcPr>
            <w:tcW w:w="2125"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p>
        </w:tc>
        <w:tc>
          <w:tcPr>
            <w:tcW w:w="2363"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p>
        </w:tc>
        <w:tc>
          <w:tcPr>
            <w:tcW w:w="2998"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p>
        </w:tc>
      </w:tr>
      <w:tr w:rsidR="00FE756F" w:rsidRPr="00FE756F" w:rsidTr="004E06F4">
        <w:trPr>
          <w:trHeight w:val="255"/>
        </w:trPr>
        <w:tc>
          <w:tcPr>
            <w:tcW w:w="2116" w:type="dxa"/>
            <w:gridSpan w:val="2"/>
            <w:tcBorders>
              <w:top w:val="nil"/>
              <w:left w:val="nil"/>
              <w:bottom w:val="nil"/>
              <w:right w:val="nil"/>
            </w:tcBorders>
            <w:shd w:val="clear" w:color="auto" w:fill="auto"/>
            <w:noWrap/>
            <w:vAlign w:val="bottom"/>
            <w:hideMark/>
          </w:tcPr>
          <w:p w:rsidR="00172C4C" w:rsidRPr="00FE756F" w:rsidRDefault="00172C4C">
            <w:pPr>
              <w:rPr>
                <w:rFonts w:ascii="Arial" w:hAnsi="Arial" w:cs="Arial"/>
                <w:sz w:val="20"/>
                <w:szCs w:val="20"/>
              </w:rPr>
            </w:pPr>
            <w:r w:rsidRPr="00FE756F">
              <w:rPr>
                <w:rFonts w:ascii="Arial" w:hAnsi="Arial" w:cs="Arial"/>
                <w:sz w:val="20"/>
                <w:szCs w:val="20"/>
              </w:rPr>
              <w:t>Dog of DS1 origin</w:t>
            </w:r>
          </w:p>
        </w:tc>
        <w:tc>
          <w:tcPr>
            <w:tcW w:w="2125"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p>
        </w:tc>
        <w:tc>
          <w:tcPr>
            <w:tcW w:w="2363"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p>
        </w:tc>
        <w:tc>
          <w:tcPr>
            <w:tcW w:w="2998"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p>
        </w:tc>
      </w:tr>
      <w:tr w:rsidR="00FE756F" w:rsidRPr="00FE756F" w:rsidTr="004E06F4">
        <w:trPr>
          <w:trHeight w:val="255"/>
        </w:trPr>
        <w:tc>
          <w:tcPr>
            <w:tcW w:w="1162" w:type="dxa"/>
            <w:tcBorders>
              <w:top w:val="nil"/>
              <w:left w:val="nil"/>
              <w:bottom w:val="nil"/>
              <w:right w:val="nil"/>
            </w:tcBorders>
            <w:shd w:val="clear" w:color="auto" w:fill="auto"/>
            <w:noWrap/>
            <w:vAlign w:val="bottom"/>
            <w:hideMark/>
          </w:tcPr>
          <w:p w:rsidR="00172C4C" w:rsidRPr="00FE756F" w:rsidRDefault="00172C4C">
            <w:pPr>
              <w:rPr>
                <w:rFonts w:ascii="Arial" w:hAnsi="Arial" w:cs="Arial"/>
                <w:sz w:val="20"/>
                <w:szCs w:val="20"/>
              </w:rPr>
            </w:pPr>
            <w:r w:rsidRPr="00FE756F">
              <w:rPr>
                <w:rFonts w:ascii="Arial" w:hAnsi="Arial" w:cs="Arial"/>
                <w:sz w:val="20"/>
                <w:szCs w:val="20"/>
              </w:rPr>
              <w:t>G060</w:t>
            </w:r>
          </w:p>
        </w:tc>
        <w:tc>
          <w:tcPr>
            <w:tcW w:w="954"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F</w:t>
            </w:r>
          </w:p>
        </w:tc>
        <w:tc>
          <w:tcPr>
            <w:tcW w:w="2125"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(not irradiated)</w:t>
            </w:r>
          </w:p>
        </w:tc>
        <w:tc>
          <w:tcPr>
            <w:tcW w:w="2363"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(not irradiated)</w:t>
            </w:r>
          </w:p>
        </w:tc>
        <w:tc>
          <w:tcPr>
            <w:tcW w:w="2998" w:type="dxa"/>
            <w:tcBorders>
              <w:top w:val="nil"/>
              <w:left w:val="nil"/>
              <w:bottom w:val="nil"/>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DRB1*001:02, DRB1*006:01</w:t>
            </w:r>
          </w:p>
        </w:tc>
      </w:tr>
      <w:tr w:rsidR="00FE756F" w:rsidRPr="00FE756F" w:rsidTr="004E06F4">
        <w:trPr>
          <w:trHeight w:val="255"/>
        </w:trPr>
        <w:tc>
          <w:tcPr>
            <w:tcW w:w="1162" w:type="dxa"/>
            <w:tcBorders>
              <w:top w:val="nil"/>
              <w:left w:val="nil"/>
              <w:bottom w:val="single" w:sz="4" w:space="0" w:color="auto"/>
              <w:right w:val="nil"/>
            </w:tcBorders>
            <w:shd w:val="clear" w:color="auto" w:fill="auto"/>
            <w:noWrap/>
            <w:vAlign w:val="bottom"/>
            <w:hideMark/>
          </w:tcPr>
          <w:p w:rsidR="00172C4C" w:rsidRPr="00FE756F" w:rsidRDefault="00172C4C">
            <w:pPr>
              <w:rPr>
                <w:rFonts w:ascii="Arial" w:hAnsi="Arial" w:cs="Arial"/>
                <w:sz w:val="20"/>
                <w:szCs w:val="20"/>
              </w:rPr>
            </w:pPr>
            <w:r w:rsidRPr="00FE756F">
              <w:rPr>
                <w:rFonts w:ascii="Arial" w:hAnsi="Arial" w:cs="Arial"/>
                <w:sz w:val="20"/>
                <w:szCs w:val="20"/>
              </w:rPr>
              <w:t> </w:t>
            </w:r>
          </w:p>
        </w:tc>
        <w:tc>
          <w:tcPr>
            <w:tcW w:w="954" w:type="dxa"/>
            <w:tcBorders>
              <w:top w:val="nil"/>
              <w:left w:val="nil"/>
              <w:bottom w:val="single" w:sz="4" w:space="0" w:color="auto"/>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 </w:t>
            </w:r>
          </w:p>
        </w:tc>
        <w:tc>
          <w:tcPr>
            <w:tcW w:w="2125" w:type="dxa"/>
            <w:tcBorders>
              <w:top w:val="nil"/>
              <w:left w:val="nil"/>
              <w:bottom w:val="single" w:sz="4" w:space="0" w:color="auto"/>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 </w:t>
            </w:r>
          </w:p>
        </w:tc>
        <w:tc>
          <w:tcPr>
            <w:tcW w:w="2363" w:type="dxa"/>
            <w:tcBorders>
              <w:top w:val="nil"/>
              <w:left w:val="nil"/>
              <w:bottom w:val="single" w:sz="4" w:space="0" w:color="auto"/>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 </w:t>
            </w:r>
          </w:p>
        </w:tc>
        <w:tc>
          <w:tcPr>
            <w:tcW w:w="2998" w:type="dxa"/>
            <w:tcBorders>
              <w:top w:val="nil"/>
              <w:left w:val="nil"/>
              <w:bottom w:val="single" w:sz="4" w:space="0" w:color="auto"/>
              <w:right w:val="nil"/>
            </w:tcBorders>
            <w:shd w:val="clear" w:color="auto" w:fill="auto"/>
            <w:noWrap/>
            <w:vAlign w:val="bottom"/>
            <w:hideMark/>
          </w:tcPr>
          <w:p w:rsidR="00172C4C" w:rsidRPr="00FE756F" w:rsidRDefault="00172C4C">
            <w:pPr>
              <w:jc w:val="center"/>
              <w:rPr>
                <w:rFonts w:ascii="Arial" w:hAnsi="Arial" w:cs="Arial"/>
                <w:sz w:val="20"/>
                <w:szCs w:val="20"/>
              </w:rPr>
            </w:pPr>
            <w:r w:rsidRPr="00FE756F">
              <w:rPr>
                <w:rFonts w:ascii="Arial" w:hAnsi="Arial" w:cs="Arial"/>
                <w:sz w:val="20"/>
                <w:szCs w:val="20"/>
              </w:rPr>
              <w:t> </w:t>
            </w:r>
          </w:p>
        </w:tc>
      </w:tr>
    </w:tbl>
    <w:p w:rsidR="00BB6982" w:rsidRPr="00FE756F" w:rsidRDefault="00BB6982" w:rsidP="00E248B6">
      <w:pPr>
        <w:rPr>
          <w:rFonts w:ascii="Arial" w:hAnsi="Arial" w:cs="Arial"/>
          <w:sz w:val="22"/>
        </w:rPr>
      </w:pPr>
    </w:p>
    <w:p w:rsidR="00BB6982" w:rsidRPr="00FE756F" w:rsidRDefault="00BB6982" w:rsidP="00E248B6">
      <w:pPr>
        <w:rPr>
          <w:rFonts w:ascii="Arial" w:hAnsi="Arial" w:cs="Arial"/>
          <w:sz w:val="22"/>
        </w:rPr>
      </w:pPr>
    </w:p>
    <w:p w:rsidR="0074316B" w:rsidRPr="00FE756F" w:rsidRDefault="0074316B" w:rsidP="00892955">
      <w:pPr>
        <w:spacing w:line="480" w:lineRule="auto"/>
        <w:rPr>
          <w:rFonts w:ascii="Arial" w:hAnsi="Arial" w:cs="Arial"/>
          <w:sz w:val="22"/>
        </w:rPr>
        <w:sectPr w:rsidR="0074316B" w:rsidRPr="00FE756F" w:rsidSect="0055589E">
          <w:footerReference w:type="even" r:id="rId9"/>
          <w:footerReference w:type="default" r:id="rId10"/>
          <w:pgSz w:w="12240" w:h="15840"/>
          <w:pgMar w:top="1440" w:right="1440" w:bottom="1440" w:left="1440" w:header="720" w:footer="720" w:gutter="0"/>
          <w:cols w:space="720"/>
          <w:docGrid w:linePitch="360"/>
        </w:sectPr>
      </w:pPr>
    </w:p>
    <w:p w:rsidR="00BB6982" w:rsidRPr="00FE756F" w:rsidRDefault="00BB6982" w:rsidP="00892955">
      <w:pPr>
        <w:spacing w:line="480" w:lineRule="auto"/>
        <w:rPr>
          <w:rFonts w:ascii="Arial" w:hAnsi="Arial" w:cs="Arial"/>
          <w:sz w:val="22"/>
        </w:rPr>
      </w:pPr>
    </w:p>
    <w:tbl>
      <w:tblPr>
        <w:tblW w:w="11320" w:type="dxa"/>
        <w:tblInd w:w="93" w:type="dxa"/>
        <w:tblLook w:val="04A0" w:firstRow="1" w:lastRow="0" w:firstColumn="1" w:lastColumn="0" w:noHBand="0" w:noVBand="1"/>
      </w:tblPr>
      <w:tblGrid>
        <w:gridCol w:w="3394"/>
        <w:gridCol w:w="3806"/>
        <w:gridCol w:w="4120"/>
      </w:tblGrid>
      <w:tr w:rsidR="00FE756F" w:rsidRPr="00FE756F" w:rsidTr="0074316B">
        <w:trPr>
          <w:trHeight w:val="255"/>
        </w:trPr>
        <w:tc>
          <w:tcPr>
            <w:tcW w:w="7200" w:type="dxa"/>
            <w:gridSpan w:val="2"/>
            <w:tcBorders>
              <w:top w:val="nil"/>
              <w:left w:val="nil"/>
              <w:bottom w:val="single" w:sz="4" w:space="0" w:color="auto"/>
              <w:right w:val="nil"/>
            </w:tcBorders>
            <w:shd w:val="clear" w:color="auto" w:fill="auto"/>
            <w:noWrap/>
            <w:vAlign w:val="bottom"/>
            <w:hideMark/>
          </w:tcPr>
          <w:p w:rsidR="0074316B" w:rsidRPr="00FE756F" w:rsidRDefault="0074316B" w:rsidP="0074316B">
            <w:pPr>
              <w:spacing w:line="360" w:lineRule="auto"/>
              <w:rPr>
                <w:rFonts w:ascii="Arial" w:hAnsi="Arial" w:cs="Arial"/>
                <w:sz w:val="20"/>
                <w:szCs w:val="20"/>
              </w:rPr>
            </w:pPr>
            <w:r w:rsidRPr="00FE756F">
              <w:rPr>
                <w:rFonts w:ascii="Arial" w:hAnsi="Arial" w:cs="Arial"/>
                <w:b/>
                <w:bCs/>
                <w:sz w:val="20"/>
                <w:szCs w:val="20"/>
              </w:rPr>
              <w:t xml:space="preserve">Supplemental Table S2. </w:t>
            </w:r>
            <w:r w:rsidRPr="00FE756F">
              <w:rPr>
                <w:rFonts w:ascii="Arial" w:hAnsi="Arial" w:cs="Arial"/>
                <w:sz w:val="20"/>
                <w:szCs w:val="20"/>
              </w:rPr>
              <w:t>List of dog primers</w:t>
            </w:r>
          </w:p>
        </w:tc>
        <w:tc>
          <w:tcPr>
            <w:tcW w:w="4120" w:type="dxa"/>
            <w:tcBorders>
              <w:top w:val="nil"/>
              <w:left w:val="nil"/>
              <w:bottom w:val="single" w:sz="4" w:space="0" w:color="auto"/>
              <w:right w:val="nil"/>
            </w:tcBorders>
            <w:shd w:val="clear" w:color="auto" w:fill="auto"/>
            <w:noWrap/>
            <w:vAlign w:val="bottom"/>
            <w:hideMark/>
          </w:tcPr>
          <w:p w:rsidR="0074316B" w:rsidRPr="00FE756F" w:rsidRDefault="0074316B" w:rsidP="0074316B">
            <w:pPr>
              <w:spacing w:line="360" w:lineRule="auto"/>
              <w:rPr>
                <w:rFonts w:ascii="Arial" w:hAnsi="Arial" w:cs="Arial"/>
                <w:sz w:val="20"/>
                <w:szCs w:val="20"/>
              </w:rPr>
            </w:pPr>
            <w:r w:rsidRPr="00FE756F">
              <w:rPr>
                <w:rFonts w:ascii="Arial" w:hAnsi="Arial" w:cs="Arial"/>
                <w:sz w:val="20"/>
                <w:szCs w:val="20"/>
              </w:rPr>
              <w:t> </w:t>
            </w:r>
          </w:p>
        </w:tc>
      </w:tr>
      <w:tr w:rsidR="00FE756F" w:rsidRPr="00FE756F" w:rsidTr="0074316B">
        <w:trPr>
          <w:trHeight w:val="255"/>
        </w:trPr>
        <w:tc>
          <w:tcPr>
            <w:tcW w:w="3394" w:type="dxa"/>
            <w:tcBorders>
              <w:top w:val="nil"/>
              <w:left w:val="nil"/>
              <w:bottom w:val="single" w:sz="4" w:space="0" w:color="auto"/>
              <w:right w:val="nil"/>
            </w:tcBorders>
            <w:shd w:val="clear" w:color="auto" w:fill="auto"/>
            <w:noWrap/>
            <w:vAlign w:val="bottom"/>
            <w:hideMark/>
          </w:tcPr>
          <w:p w:rsidR="0074316B" w:rsidRPr="00FE756F" w:rsidRDefault="0074316B" w:rsidP="0074316B">
            <w:pPr>
              <w:spacing w:line="360" w:lineRule="auto"/>
              <w:rPr>
                <w:rFonts w:ascii="Arial" w:hAnsi="Arial" w:cs="Arial"/>
                <w:sz w:val="20"/>
                <w:szCs w:val="20"/>
              </w:rPr>
            </w:pPr>
            <w:r w:rsidRPr="00FE756F">
              <w:rPr>
                <w:rFonts w:ascii="Arial" w:hAnsi="Arial" w:cs="Arial"/>
                <w:sz w:val="20"/>
                <w:szCs w:val="20"/>
              </w:rPr>
              <w:t> </w:t>
            </w:r>
          </w:p>
        </w:tc>
        <w:tc>
          <w:tcPr>
            <w:tcW w:w="3806" w:type="dxa"/>
            <w:tcBorders>
              <w:top w:val="nil"/>
              <w:left w:val="nil"/>
              <w:bottom w:val="single" w:sz="4" w:space="0" w:color="auto"/>
              <w:right w:val="nil"/>
            </w:tcBorders>
            <w:shd w:val="clear" w:color="auto" w:fill="auto"/>
            <w:noWrap/>
            <w:vAlign w:val="bottom"/>
            <w:hideMark/>
          </w:tcPr>
          <w:p w:rsidR="0074316B" w:rsidRPr="00FE756F" w:rsidRDefault="0074316B" w:rsidP="0074316B">
            <w:pPr>
              <w:spacing w:line="360" w:lineRule="auto"/>
              <w:rPr>
                <w:rFonts w:ascii="Arial" w:hAnsi="Arial" w:cs="Arial"/>
                <w:sz w:val="20"/>
                <w:szCs w:val="20"/>
              </w:rPr>
            </w:pPr>
            <w:r w:rsidRPr="00FE756F">
              <w:rPr>
                <w:rFonts w:ascii="Arial" w:hAnsi="Arial" w:cs="Arial"/>
                <w:sz w:val="20"/>
                <w:szCs w:val="20"/>
              </w:rPr>
              <w:t>5' primer</w:t>
            </w:r>
          </w:p>
        </w:tc>
        <w:tc>
          <w:tcPr>
            <w:tcW w:w="4120" w:type="dxa"/>
            <w:tcBorders>
              <w:top w:val="nil"/>
              <w:left w:val="nil"/>
              <w:bottom w:val="single" w:sz="4" w:space="0" w:color="auto"/>
              <w:right w:val="nil"/>
            </w:tcBorders>
            <w:shd w:val="clear" w:color="auto" w:fill="auto"/>
            <w:noWrap/>
            <w:vAlign w:val="bottom"/>
            <w:hideMark/>
          </w:tcPr>
          <w:p w:rsidR="0074316B" w:rsidRPr="00FE756F" w:rsidRDefault="0074316B" w:rsidP="0074316B">
            <w:pPr>
              <w:spacing w:line="360" w:lineRule="auto"/>
              <w:rPr>
                <w:rFonts w:ascii="Arial" w:hAnsi="Arial" w:cs="Arial"/>
                <w:sz w:val="20"/>
                <w:szCs w:val="20"/>
              </w:rPr>
            </w:pPr>
            <w:r w:rsidRPr="00FE756F">
              <w:rPr>
                <w:rFonts w:ascii="Arial" w:hAnsi="Arial" w:cs="Arial"/>
                <w:sz w:val="20"/>
                <w:szCs w:val="20"/>
              </w:rPr>
              <w:t>3' primer</w:t>
            </w:r>
          </w:p>
        </w:tc>
      </w:tr>
      <w:tr w:rsidR="00FE756F" w:rsidRPr="00FE756F" w:rsidTr="0074316B">
        <w:trPr>
          <w:trHeight w:val="255"/>
        </w:trPr>
        <w:tc>
          <w:tcPr>
            <w:tcW w:w="3394" w:type="dxa"/>
            <w:tcBorders>
              <w:top w:val="nil"/>
              <w:left w:val="nil"/>
              <w:bottom w:val="nil"/>
              <w:right w:val="nil"/>
            </w:tcBorders>
            <w:shd w:val="clear" w:color="000000" w:fill="C0C0C0"/>
            <w:noWrap/>
            <w:vAlign w:val="bottom"/>
            <w:hideMark/>
          </w:tcPr>
          <w:p w:rsidR="0074316B" w:rsidRPr="00FE756F" w:rsidRDefault="0074316B" w:rsidP="0074316B">
            <w:pPr>
              <w:spacing w:line="360" w:lineRule="auto"/>
              <w:rPr>
                <w:rFonts w:ascii="Arial" w:hAnsi="Arial" w:cs="Arial"/>
                <w:sz w:val="20"/>
                <w:szCs w:val="20"/>
              </w:rPr>
            </w:pPr>
            <w:r w:rsidRPr="00FE756F">
              <w:rPr>
                <w:rFonts w:ascii="Arial" w:hAnsi="Arial" w:cs="Arial"/>
                <w:sz w:val="20"/>
                <w:szCs w:val="20"/>
              </w:rPr>
              <w:t>Canine CD34</w:t>
            </w:r>
          </w:p>
        </w:tc>
        <w:tc>
          <w:tcPr>
            <w:tcW w:w="3806" w:type="dxa"/>
            <w:tcBorders>
              <w:top w:val="nil"/>
              <w:left w:val="nil"/>
              <w:bottom w:val="nil"/>
              <w:right w:val="nil"/>
            </w:tcBorders>
            <w:shd w:val="clear" w:color="000000" w:fill="C0C0C0"/>
            <w:noWrap/>
            <w:vAlign w:val="bottom"/>
            <w:hideMark/>
          </w:tcPr>
          <w:p w:rsidR="0074316B" w:rsidRPr="00FE756F" w:rsidRDefault="0074316B" w:rsidP="0074316B">
            <w:pPr>
              <w:spacing w:line="360" w:lineRule="auto"/>
              <w:rPr>
                <w:rFonts w:ascii="Arial" w:hAnsi="Arial" w:cs="Arial"/>
                <w:sz w:val="20"/>
                <w:szCs w:val="20"/>
              </w:rPr>
            </w:pPr>
            <w:r w:rsidRPr="00FE756F">
              <w:rPr>
                <w:rFonts w:ascii="Arial" w:hAnsi="Arial" w:cs="Arial"/>
                <w:sz w:val="20"/>
                <w:szCs w:val="20"/>
              </w:rPr>
              <w:t>CAGAAACCGTGATTACTCCTACCAC</w:t>
            </w:r>
          </w:p>
        </w:tc>
        <w:tc>
          <w:tcPr>
            <w:tcW w:w="4120" w:type="dxa"/>
            <w:tcBorders>
              <w:top w:val="nil"/>
              <w:left w:val="nil"/>
              <w:bottom w:val="nil"/>
              <w:right w:val="nil"/>
            </w:tcBorders>
            <w:shd w:val="clear" w:color="000000" w:fill="C0C0C0"/>
            <w:noWrap/>
            <w:vAlign w:val="bottom"/>
            <w:hideMark/>
          </w:tcPr>
          <w:p w:rsidR="0074316B" w:rsidRPr="00FE756F" w:rsidRDefault="0074316B" w:rsidP="0074316B">
            <w:pPr>
              <w:spacing w:line="360" w:lineRule="auto"/>
              <w:rPr>
                <w:rFonts w:ascii="Arial" w:hAnsi="Arial" w:cs="Arial"/>
                <w:sz w:val="20"/>
                <w:szCs w:val="20"/>
              </w:rPr>
            </w:pPr>
            <w:r w:rsidRPr="00FE756F">
              <w:rPr>
                <w:rFonts w:ascii="Arial" w:hAnsi="Arial" w:cs="Arial"/>
                <w:sz w:val="20"/>
                <w:szCs w:val="20"/>
              </w:rPr>
              <w:t>AGCTCTAGGCAGATACCTTGGTTC</w:t>
            </w:r>
          </w:p>
        </w:tc>
      </w:tr>
      <w:tr w:rsidR="00FE756F" w:rsidRPr="00FE756F" w:rsidTr="0074316B">
        <w:trPr>
          <w:trHeight w:val="255"/>
        </w:trPr>
        <w:tc>
          <w:tcPr>
            <w:tcW w:w="3394" w:type="dxa"/>
            <w:tcBorders>
              <w:top w:val="nil"/>
              <w:left w:val="nil"/>
              <w:bottom w:val="nil"/>
              <w:right w:val="nil"/>
            </w:tcBorders>
            <w:shd w:val="clear" w:color="auto" w:fill="auto"/>
            <w:noWrap/>
            <w:vAlign w:val="bottom"/>
            <w:hideMark/>
          </w:tcPr>
          <w:p w:rsidR="0074316B" w:rsidRPr="00FE756F" w:rsidRDefault="0074316B" w:rsidP="0074316B">
            <w:pPr>
              <w:spacing w:line="360" w:lineRule="auto"/>
              <w:rPr>
                <w:rFonts w:ascii="Arial" w:hAnsi="Arial" w:cs="Arial"/>
                <w:sz w:val="20"/>
                <w:szCs w:val="20"/>
              </w:rPr>
            </w:pPr>
            <w:r w:rsidRPr="00FE756F">
              <w:rPr>
                <w:rFonts w:ascii="Arial" w:hAnsi="Arial" w:cs="Arial"/>
                <w:sz w:val="20"/>
                <w:szCs w:val="20"/>
              </w:rPr>
              <w:t>Canine CDH5/CD144/VE-cadherin</w:t>
            </w:r>
          </w:p>
        </w:tc>
        <w:tc>
          <w:tcPr>
            <w:tcW w:w="3806" w:type="dxa"/>
            <w:tcBorders>
              <w:top w:val="nil"/>
              <w:left w:val="nil"/>
              <w:bottom w:val="nil"/>
              <w:right w:val="nil"/>
            </w:tcBorders>
            <w:shd w:val="clear" w:color="auto" w:fill="auto"/>
            <w:noWrap/>
            <w:vAlign w:val="bottom"/>
            <w:hideMark/>
          </w:tcPr>
          <w:p w:rsidR="0074316B" w:rsidRPr="00FE756F" w:rsidRDefault="0074316B" w:rsidP="0074316B">
            <w:pPr>
              <w:spacing w:line="360" w:lineRule="auto"/>
              <w:rPr>
                <w:rFonts w:ascii="Arial" w:hAnsi="Arial" w:cs="Arial"/>
                <w:sz w:val="20"/>
                <w:szCs w:val="20"/>
              </w:rPr>
            </w:pPr>
            <w:r w:rsidRPr="00FE756F">
              <w:rPr>
                <w:rFonts w:ascii="Arial" w:hAnsi="Arial" w:cs="Arial"/>
                <w:sz w:val="20"/>
                <w:szCs w:val="20"/>
              </w:rPr>
              <w:t>CACAGCCACAGTACTGGTCAACC</w:t>
            </w:r>
          </w:p>
        </w:tc>
        <w:tc>
          <w:tcPr>
            <w:tcW w:w="4120" w:type="dxa"/>
            <w:tcBorders>
              <w:top w:val="nil"/>
              <w:left w:val="nil"/>
              <w:bottom w:val="nil"/>
              <w:right w:val="nil"/>
            </w:tcBorders>
            <w:shd w:val="clear" w:color="auto" w:fill="auto"/>
            <w:noWrap/>
            <w:vAlign w:val="bottom"/>
            <w:hideMark/>
          </w:tcPr>
          <w:p w:rsidR="0074316B" w:rsidRPr="00FE756F" w:rsidRDefault="0074316B" w:rsidP="0074316B">
            <w:pPr>
              <w:spacing w:line="360" w:lineRule="auto"/>
              <w:rPr>
                <w:rFonts w:ascii="Arial" w:hAnsi="Arial" w:cs="Arial"/>
                <w:sz w:val="20"/>
                <w:szCs w:val="20"/>
              </w:rPr>
            </w:pPr>
            <w:r w:rsidRPr="00FE756F">
              <w:rPr>
                <w:rFonts w:ascii="Arial" w:hAnsi="Arial" w:cs="Arial"/>
                <w:sz w:val="20"/>
                <w:szCs w:val="20"/>
              </w:rPr>
              <w:t>TGCGGATGGAATATCCAATGCTCC</w:t>
            </w:r>
          </w:p>
        </w:tc>
      </w:tr>
      <w:tr w:rsidR="00FE756F" w:rsidRPr="00FE756F" w:rsidTr="0074316B">
        <w:trPr>
          <w:trHeight w:val="255"/>
        </w:trPr>
        <w:tc>
          <w:tcPr>
            <w:tcW w:w="3394" w:type="dxa"/>
            <w:tcBorders>
              <w:top w:val="nil"/>
              <w:left w:val="nil"/>
              <w:bottom w:val="nil"/>
              <w:right w:val="nil"/>
            </w:tcBorders>
            <w:shd w:val="clear" w:color="000000" w:fill="C0C0C0"/>
            <w:noWrap/>
            <w:vAlign w:val="bottom"/>
            <w:hideMark/>
          </w:tcPr>
          <w:p w:rsidR="0074316B" w:rsidRPr="00FE756F" w:rsidRDefault="0074316B" w:rsidP="0074316B">
            <w:pPr>
              <w:spacing w:line="360" w:lineRule="auto"/>
              <w:rPr>
                <w:rFonts w:ascii="Arial" w:hAnsi="Arial" w:cs="Arial"/>
                <w:sz w:val="20"/>
                <w:szCs w:val="20"/>
              </w:rPr>
            </w:pPr>
            <w:r w:rsidRPr="00FE756F">
              <w:rPr>
                <w:rFonts w:ascii="Arial" w:hAnsi="Arial" w:cs="Arial"/>
                <w:sz w:val="20"/>
                <w:szCs w:val="20"/>
              </w:rPr>
              <w:t>Canine KDR</w:t>
            </w:r>
          </w:p>
        </w:tc>
        <w:tc>
          <w:tcPr>
            <w:tcW w:w="3806" w:type="dxa"/>
            <w:tcBorders>
              <w:top w:val="nil"/>
              <w:left w:val="nil"/>
              <w:bottom w:val="nil"/>
              <w:right w:val="nil"/>
            </w:tcBorders>
            <w:shd w:val="clear" w:color="000000" w:fill="C0C0C0"/>
            <w:noWrap/>
            <w:vAlign w:val="bottom"/>
            <w:hideMark/>
          </w:tcPr>
          <w:p w:rsidR="0074316B" w:rsidRPr="00FE756F" w:rsidRDefault="0074316B" w:rsidP="0074316B">
            <w:pPr>
              <w:spacing w:line="360" w:lineRule="auto"/>
              <w:rPr>
                <w:rFonts w:ascii="Arial" w:hAnsi="Arial" w:cs="Arial"/>
                <w:sz w:val="20"/>
                <w:szCs w:val="20"/>
              </w:rPr>
            </w:pPr>
            <w:r w:rsidRPr="00FE756F">
              <w:rPr>
                <w:rFonts w:ascii="Arial" w:hAnsi="Arial" w:cs="Arial"/>
                <w:sz w:val="20"/>
                <w:szCs w:val="20"/>
              </w:rPr>
              <w:t>GAACTGAAGACAGGCTACTTGTCC</w:t>
            </w:r>
          </w:p>
        </w:tc>
        <w:tc>
          <w:tcPr>
            <w:tcW w:w="4120" w:type="dxa"/>
            <w:tcBorders>
              <w:top w:val="nil"/>
              <w:left w:val="nil"/>
              <w:bottom w:val="nil"/>
              <w:right w:val="nil"/>
            </w:tcBorders>
            <w:shd w:val="clear" w:color="000000" w:fill="C0C0C0"/>
            <w:noWrap/>
            <w:vAlign w:val="bottom"/>
            <w:hideMark/>
          </w:tcPr>
          <w:p w:rsidR="0074316B" w:rsidRPr="00FE756F" w:rsidRDefault="0074316B" w:rsidP="0074316B">
            <w:pPr>
              <w:spacing w:line="360" w:lineRule="auto"/>
              <w:rPr>
                <w:rFonts w:ascii="Arial" w:hAnsi="Arial" w:cs="Arial"/>
                <w:sz w:val="20"/>
                <w:szCs w:val="20"/>
              </w:rPr>
            </w:pPr>
            <w:r w:rsidRPr="00FE756F">
              <w:rPr>
                <w:rFonts w:ascii="Arial" w:hAnsi="Arial" w:cs="Arial"/>
                <w:sz w:val="20"/>
                <w:szCs w:val="20"/>
              </w:rPr>
              <w:t>CTCTGACTACTGGTGATGCTGTCC</w:t>
            </w:r>
          </w:p>
        </w:tc>
      </w:tr>
      <w:tr w:rsidR="00FE756F" w:rsidRPr="00FE756F" w:rsidTr="0074316B">
        <w:trPr>
          <w:trHeight w:val="255"/>
        </w:trPr>
        <w:tc>
          <w:tcPr>
            <w:tcW w:w="3394" w:type="dxa"/>
            <w:tcBorders>
              <w:top w:val="nil"/>
              <w:left w:val="nil"/>
              <w:bottom w:val="nil"/>
              <w:right w:val="nil"/>
            </w:tcBorders>
            <w:shd w:val="clear" w:color="auto" w:fill="auto"/>
            <w:noWrap/>
            <w:vAlign w:val="bottom"/>
            <w:hideMark/>
          </w:tcPr>
          <w:p w:rsidR="0074316B" w:rsidRPr="00FE756F" w:rsidRDefault="0074316B" w:rsidP="0074316B">
            <w:pPr>
              <w:spacing w:line="360" w:lineRule="auto"/>
              <w:rPr>
                <w:rFonts w:ascii="Arial" w:hAnsi="Arial" w:cs="Arial"/>
                <w:sz w:val="20"/>
                <w:szCs w:val="20"/>
              </w:rPr>
            </w:pPr>
            <w:r w:rsidRPr="00FE756F">
              <w:rPr>
                <w:rFonts w:ascii="Arial" w:hAnsi="Arial" w:cs="Arial"/>
                <w:sz w:val="20"/>
                <w:szCs w:val="20"/>
              </w:rPr>
              <w:t xml:space="preserve">Canine </w:t>
            </w:r>
            <w:proofErr w:type="spellStart"/>
            <w:r w:rsidRPr="00FE756F">
              <w:rPr>
                <w:rFonts w:ascii="Arial" w:hAnsi="Arial" w:cs="Arial"/>
                <w:sz w:val="20"/>
                <w:szCs w:val="20"/>
              </w:rPr>
              <w:t>vWF</w:t>
            </w:r>
            <w:proofErr w:type="spellEnd"/>
          </w:p>
        </w:tc>
        <w:tc>
          <w:tcPr>
            <w:tcW w:w="3806" w:type="dxa"/>
            <w:tcBorders>
              <w:top w:val="nil"/>
              <w:left w:val="nil"/>
              <w:bottom w:val="nil"/>
              <w:right w:val="nil"/>
            </w:tcBorders>
            <w:shd w:val="clear" w:color="auto" w:fill="auto"/>
            <w:noWrap/>
            <w:vAlign w:val="bottom"/>
            <w:hideMark/>
          </w:tcPr>
          <w:p w:rsidR="0074316B" w:rsidRPr="00FE756F" w:rsidRDefault="0074316B" w:rsidP="0074316B">
            <w:pPr>
              <w:spacing w:line="360" w:lineRule="auto"/>
              <w:rPr>
                <w:rFonts w:ascii="Arial" w:hAnsi="Arial" w:cs="Arial"/>
                <w:sz w:val="20"/>
                <w:szCs w:val="20"/>
              </w:rPr>
            </w:pPr>
            <w:r w:rsidRPr="00FE756F">
              <w:rPr>
                <w:rFonts w:ascii="Arial" w:hAnsi="Arial" w:cs="Arial"/>
                <w:sz w:val="20"/>
                <w:szCs w:val="20"/>
              </w:rPr>
              <w:t>GTCAGATTCAACCATCTTG GCCAC</w:t>
            </w:r>
          </w:p>
        </w:tc>
        <w:tc>
          <w:tcPr>
            <w:tcW w:w="4120" w:type="dxa"/>
            <w:tcBorders>
              <w:top w:val="nil"/>
              <w:left w:val="nil"/>
              <w:bottom w:val="nil"/>
              <w:right w:val="nil"/>
            </w:tcBorders>
            <w:shd w:val="clear" w:color="auto" w:fill="auto"/>
            <w:noWrap/>
            <w:vAlign w:val="bottom"/>
            <w:hideMark/>
          </w:tcPr>
          <w:p w:rsidR="0074316B" w:rsidRPr="00FE756F" w:rsidRDefault="0074316B" w:rsidP="0074316B">
            <w:pPr>
              <w:spacing w:line="360" w:lineRule="auto"/>
              <w:rPr>
                <w:rFonts w:ascii="Arial" w:hAnsi="Arial" w:cs="Arial"/>
                <w:sz w:val="20"/>
                <w:szCs w:val="20"/>
              </w:rPr>
            </w:pPr>
            <w:r w:rsidRPr="00FE756F">
              <w:rPr>
                <w:rFonts w:ascii="Arial" w:hAnsi="Arial" w:cs="Arial"/>
                <w:sz w:val="20"/>
                <w:szCs w:val="20"/>
              </w:rPr>
              <w:t>GGGATGGTGGACATGACATAGCAC</w:t>
            </w:r>
          </w:p>
        </w:tc>
      </w:tr>
      <w:tr w:rsidR="00FE756F" w:rsidRPr="00FE756F" w:rsidTr="0074316B">
        <w:trPr>
          <w:trHeight w:val="255"/>
        </w:trPr>
        <w:tc>
          <w:tcPr>
            <w:tcW w:w="3394" w:type="dxa"/>
            <w:tcBorders>
              <w:top w:val="nil"/>
              <w:left w:val="nil"/>
              <w:bottom w:val="nil"/>
              <w:right w:val="nil"/>
            </w:tcBorders>
            <w:shd w:val="clear" w:color="000000" w:fill="C0C0C0"/>
            <w:noWrap/>
            <w:vAlign w:val="bottom"/>
            <w:hideMark/>
          </w:tcPr>
          <w:p w:rsidR="0074316B" w:rsidRPr="00FE756F" w:rsidRDefault="0074316B" w:rsidP="0074316B">
            <w:pPr>
              <w:spacing w:line="360" w:lineRule="auto"/>
              <w:rPr>
                <w:rFonts w:ascii="Arial" w:hAnsi="Arial" w:cs="Arial"/>
                <w:sz w:val="20"/>
                <w:szCs w:val="20"/>
              </w:rPr>
            </w:pPr>
            <w:r w:rsidRPr="00FE756F">
              <w:rPr>
                <w:rFonts w:ascii="Arial" w:hAnsi="Arial" w:cs="Arial"/>
                <w:sz w:val="20"/>
                <w:szCs w:val="20"/>
              </w:rPr>
              <w:t>Canine TEK/TIE2</w:t>
            </w:r>
          </w:p>
        </w:tc>
        <w:tc>
          <w:tcPr>
            <w:tcW w:w="3806" w:type="dxa"/>
            <w:tcBorders>
              <w:top w:val="nil"/>
              <w:left w:val="nil"/>
              <w:bottom w:val="nil"/>
              <w:right w:val="nil"/>
            </w:tcBorders>
            <w:shd w:val="clear" w:color="000000" w:fill="C0C0C0"/>
            <w:noWrap/>
            <w:vAlign w:val="bottom"/>
            <w:hideMark/>
          </w:tcPr>
          <w:p w:rsidR="0074316B" w:rsidRPr="00FE756F" w:rsidRDefault="0074316B" w:rsidP="0074316B">
            <w:pPr>
              <w:spacing w:line="360" w:lineRule="auto"/>
              <w:rPr>
                <w:rFonts w:ascii="Arial" w:hAnsi="Arial" w:cs="Arial"/>
                <w:sz w:val="20"/>
                <w:szCs w:val="20"/>
              </w:rPr>
            </w:pPr>
            <w:r w:rsidRPr="00FE756F">
              <w:rPr>
                <w:rFonts w:ascii="Arial" w:hAnsi="Arial" w:cs="Arial"/>
                <w:sz w:val="20"/>
                <w:szCs w:val="20"/>
              </w:rPr>
              <w:t>CTTTAAGATACAGCCTTTCCCATCC</w:t>
            </w:r>
          </w:p>
        </w:tc>
        <w:tc>
          <w:tcPr>
            <w:tcW w:w="4120" w:type="dxa"/>
            <w:tcBorders>
              <w:top w:val="nil"/>
              <w:left w:val="nil"/>
              <w:bottom w:val="nil"/>
              <w:right w:val="nil"/>
            </w:tcBorders>
            <w:shd w:val="clear" w:color="000000" w:fill="C0C0C0"/>
            <w:noWrap/>
            <w:vAlign w:val="bottom"/>
            <w:hideMark/>
          </w:tcPr>
          <w:p w:rsidR="0074316B" w:rsidRPr="00FE756F" w:rsidRDefault="0074316B" w:rsidP="0074316B">
            <w:pPr>
              <w:spacing w:line="360" w:lineRule="auto"/>
              <w:rPr>
                <w:rFonts w:ascii="Arial" w:hAnsi="Arial" w:cs="Arial"/>
                <w:sz w:val="20"/>
                <w:szCs w:val="20"/>
              </w:rPr>
            </w:pPr>
            <w:r w:rsidRPr="00FE756F">
              <w:rPr>
                <w:rFonts w:ascii="Arial" w:hAnsi="Arial" w:cs="Arial"/>
                <w:sz w:val="20"/>
                <w:szCs w:val="20"/>
              </w:rPr>
              <w:t>CTGGTTCATTAAGGCTTCAAAGTCC</w:t>
            </w:r>
          </w:p>
        </w:tc>
      </w:tr>
      <w:tr w:rsidR="00FE756F" w:rsidRPr="00FE756F" w:rsidTr="0074316B">
        <w:trPr>
          <w:trHeight w:val="255"/>
        </w:trPr>
        <w:tc>
          <w:tcPr>
            <w:tcW w:w="3394" w:type="dxa"/>
            <w:tcBorders>
              <w:top w:val="nil"/>
              <w:left w:val="nil"/>
              <w:bottom w:val="nil"/>
              <w:right w:val="nil"/>
            </w:tcBorders>
            <w:shd w:val="clear" w:color="auto" w:fill="auto"/>
            <w:noWrap/>
            <w:vAlign w:val="bottom"/>
            <w:hideMark/>
          </w:tcPr>
          <w:p w:rsidR="0074316B" w:rsidRPr="00FE756F" w:rsidRDefault="0074316B" w:rsidP="0074316B">
            <w:pPr>
              <w:spacing w:line="360" w:lineRule="auto"/>
              <w:rPr>
                <w:rFonts w:ascii="Arial" w:hAnsi="Arial" w:cs="Arial"/>
                <w:sz w:val="20"/>
                <w:szCs w:val="20"/>
              </w:rPr>
            </w:pPr>
            <w:r w:rsidRPr="00FE756F">
              <w:rPr>
                <w:rFonts w:ascii="Arial" w:hAnsi="Arial" w:cs="Arial"/>
                <w:sz w:val="20"/>
                <w:szCs w:val="20"/>
              </w:rPr>
              <w:t>Canine PECAM1/CD31</w:t>
            </w:r>
          </w:p>
        </w:tc>
        <w:tc>
          <w:tcPr>
            <w:tcW w:w="3806" w:type="dxa"/>
            <w:tcBorders>
              <w:top w:val="nil"/>
              <w:left w:val="nil"/>
              <w:bottom w:val="nil"/>
              <w:right w:val="nil"/>
            </w:tcBorders>
            <w:shd w:val="clear" w:color="auto" w:fill="auto"/>
            <w:noWrap/>
            <w:vAlign w:val="bottom"/>
            <w:hideMark/>
          </w:tcPr>
          <w:p w:rsidR="0074316B" w:rsidRPr="00FE756F" w:rsidRDefault="0074316B" w:rsidP="0074316B">
            <w:pPr>
              <w:spacing w:line="360" w:lineRule="auto"/>
              <w:rPr>
                <w:rFonts w:ascii="Arial" w:hAnsi="Arial" w:cs="Arial"/>
                <w:sz w:val="20"/>
                <w:szCs w:val="20"/>
              </w:rPr>
            </w:pPr>
            <w:r w:rsidRPr="00FE756F">
              <w:rPr>
                <w:rFonts w:ascii="Arial" w:hAnsi="Arial" w:cs="Arial"/>
                <w:sz w:val="20"/>
                <w:szCs w:val="20"/>
              </w:rPr>
              <w:t>CTACCAAATCACCTCGAATGAAACC</w:t>
            </w:r>
          </w:p>
        </w:tc>
        <w:tc>
          <w:tcPr>
            <w:tcW w:w="4120" w:type="dxa"/>
            <w:tcBorders>
              <w:top w:val="nil"/>
              <w:left w:val="nil"/>
              <w:bottom w:val="nil"/>
              <w:right w:val="nil"/>
            </w:tcBorders>
            <w:shd w:val="clear" w:color="auto" w:fill="auto"/>
            <w:noWrap/>
            <w:vAlign w:val="bottom"/>
            <w:hideMark/>
          </w:tcPr>
          <w:p w:rsidR="0074316B" w:rsidRPr="00FE756F" w:rsidRDefault="0074316B" w:rsidP="0074316B">
            <w:pPr>
              <w:spacing w:line="360" w:lineRule="auto"/>
              <w:rPr>
                <w:rFonts w:ascii="Arial" w:hAnsi="Arial" w:cs="Arial"/>
                <w:sz w:val="20"/>
                <w:szCs w:val="20"/>
              </w:rPr>
            </w:pPr>
            <w:r w:rsidRPr="00FE756F">
              <w:rPr>
                <w:rFonts w:ascii="Arial" w:hAnsi="Arial" w:cs="Arial"/>
                <w:sz w:val="20"/>
                <w:szCs w:val="20"/>
              </w:rPr>
              <w:t>TTCTGTGTATTCCACATCCAACGTC</w:t>
            </w:r>
          </w:p>
        </w:tc>
      </w:tr>
      <w:tr w:rsidR="00FE756F" w:rsidRPr="00FE756F" w:rsidTr="0074316B">
        <w:trPr>
          <w:trHeight w:val="255"/>
        </w:trPr>
        <w:tc>
          <w:tcPr>
            <w:tcW w:w="3394" w:type="dxa"/>
            <w:tcBorders>
              <w:top w:val="nil"/>
              <w:left w:val="nil"/>
              <w:bottom w:val="nil"/>
              <w:right w:val="nil"/>
            </w:tcBorders>
            <w:shd w:val="clear" w:color="000000" w:fill="C0C0C0"/>
            <w:noWrap/>
            <w:vAlign w:val="bottom"/>
            <w:hideMark/>
          </w:tcPr>
          <w:p w:rsidR="0074316B" w:rsidRPr="00FE756F" w:rsidRDefault="0074316B" w:rsidP="0074316B">
            <w:pPr>
              <w:spacing w:line="360" w:lineRule="auto"/>
              <w:rPr>
                <w:rFonts w:ascii="Arial" w:hAnsi="Arial" w:cs="Arial"/>
                <w:sz w:val="20"/>
                <w:szCs w:val="20"/>
              </w:rPr>
            </w:pPr>
            <w:r w:rsidRPr="00FE756F">
              <w:rPr>
                <w:rFonts w:ascii="Arial" w:hAnsi="Arial" w:cs="Arial"/>
                <w:sz w:val="20"/>
                <w:szCs w:val="20"/>
              </w:rPr>
              <w:t>Canine MCAM/CD146</w:t>
            </w:r>
          </w:p>
        </w:tc>
        <w:tc>
          <w:tcPr>
            <w:tcW w:w="3806" w:type="dxa"/>
            <w:tcBorders>
              <w:top w:val="nil"/>
              <w:left w:val="nil"/>
              <w:bottom w:val="nil"/>
              <w:right w:val="nil"/>
            </w:tcBorders>
            <w:shd w:val="clear" w:color="000000" w:fill="C0C0C0"/>
            <w:noWrap/>
            <w:vAlign w:val="bottom"/>
            <w:hideMark/>
          </w:tcPr>
          <w:p w:rsidR="0074316B" w:rsidRPr="00FE756F" w:rsidRDefault="0074316B" w:rsidP="0074316B">
            <w:pPr>
              <w:spacing w:line="360" w:lineRule="auto"/>
              <w:rPr>
                <w:rFonts w:ascii="Arial" w:hAnsi="Arial" w:cs="Arial"/>
                <w:sz w:val="20"/>
                <w:szCs w:val="20"/>
              </w:rPr>
            </w:pPr>
            <w:r w:rsidRPr="00FE756F">
              <w:rPr>
                <w:rFonts w:ascii="Arial" w:hAnsi="Arial" w:cs="Arial"/>
                <w:sz w:val="20"/>
                <w:szCs w:val="20"/>
              </w:rPr>
              <w:t>GGAGTCTCAGGAAGTCACTGTCC</w:t>
            </w:r>
          </w:p>
        </w:tc>
        <w:tc>
          <w:tcPr>
            <w:tcW w:w="4120" w:type="dxa"/>
            <w:tcBorders>
              <w:top w:val="nil"/>
              <w:left w:val="nil"/>
              <w:bottom w:val="nil"/>
              <w:right w:val="nil"/>
            </w:tcBorders>
            <w:shd w:val="clear" w:color="000000" w:fill="C0C0C0"/>
            <w:noWrap/>
            <w:vAlign w:val="bottom"/>
            <w:hideMark/>
          </w:tcPr>
          <w:p w:rsidR="0074316B" w:rsidRPr="00FE756F" w:rsidRDefault="0074316B" w:rsidP="0074316B">
            <w:pPr>
              <w:spacing w:line="360" w:lineRule="auto"/>
              <w:rPr>
                <w:rFonts w:ascii="Arial" w:hAnsi="Arial" w:cs="Arial"/>
                <w:sz w:val="20"/>
                <w:szCs w:val="20"/>
              </w:rPr>
            </w:pPr>
            <w:r w:rsidRPr="00FE756F">
              <w:rPr>
                <w:rFonts w:ascii="Arial" w:hAnsi="Arial" w:cs="Arial"/>
                <w:sz w:val="20"/>
                <w:szCs w:val="20"/>
              </w:rPr>
              <w:t>CTTCAGGTTGTGTAACTGGAGCAC</w:t>
            </w:r>
          </w:p>
        </w:tc>
      </w:tr>
      <w:tr w:rsidR="00FE756F" w:rsidRPr="00FE756F" w:rsidTr="0074316B">
        <w:trPr>
          <w:trHeight w:val="255"/>
        </w:trPr>
        <w:tc>
          <w:tcPr>
            <w:tcW w:w="3394" w:type="dxa"/>
            <w:tcBorders>
              <w:top w:val="nil"/>
              <w:left w:val="nil"/>
              <w:bottom w:val="nil"/>
              <w:right w:val="nil"/>
            </w:tcBorders>
            <w:shd w:val="clear" w:color="auto" w:fill="auto"/>
            <w:noWrap/>
            <w:vAlign w:val="bottom"/>
            <w:hideMark/>
          </w:tcPr>
          <w:p w:rsidR="0074316B" w:rsidRPr="00FE756F" w:rsidRDefault="0074316B" w:rsidP="0074316B">
            <w:pPr>
              <w:spacing w:line="360" w:lineRule="auto"/>
              <w:rPr>
                <w:rFonts w:ascii="Arial" w:hAnsi="Arial" w:cs="Arial"/>
                <w:sz w:val="20"/>
                <w:szCs w:val="20"/>
              </w:rPr>
            </w:pPr>
            <w:r w:rsidRPr="00FE756F">
              <w:rPr>
                <w:rFonts w:ascii="Arial" w:hAnsi="Arial" w:cs="Arial"/>
                <w:sz w:val="20"/>
                <w:szCs w:val="20"/>
              </w:rPr>
              <w:t>Canine ACTB</w:t>
            </w:r>
          </w:p>
        </w:tc>
        <w:tc>
          <w:tcPr>
            <w:tcW w:w="3806" w:type="dxa"/>
            <w:tcBorders>
              <w:top w:val="nil"/>
              <w:left w:val="nil"/>
              <w:bottom w:val="nil"/>
              <w:right w:val="nil"/>
            </w:tcBorders>
            <w:shd w:val="clear" w:color="auto" w:fill="auto"/>
            <w:noWrap/>
            <w:vAlign w:val="bottom"/>
            <w:hideMark/>
          </w:tcPr>
          <w:p w:rsidR="0074316B" w:rsidRPr="00FE756F" w:rsidRDefault="0074316B" w:rsidP="0074316B">
            <w:pPr>
              <w:spacing w:line="360" w:lineRule="auto"/>
              <w:rPr>
                <w:rFonts w:ascii="Arial" w:hAnsi="Arial" w:cs="Arial"/>
                <w:sz w:val="20"/>
                <w:szCs w:val="20"/>
              </w:rPr>
            </w:pPr>
            <w:r w:rsidRPr="00FE756F">
              <w:rPr>
                <w:rFonts w:ascii="Arial" w:hAnsi="Arial" w:cs="Arial"/>
                <w:sz w:val="20"/>
                <w:szCs w:val="20"/>
              </w:rPr>
              <w:t>GATGACGATATCGCTGCGCTTGTG</w:t>
            </w:r>
          </w:p>
        </w:tc>
        <w:tc>
          <w:tcPr>
            <w:tcW w:w="4120" w:type="dxa"/>
            <w:tcBorders>
              <w:top w:val="nil"/>
              <w:left w:val="nil"/>
              <w:bottom w:val="nil"/>
              <w:right w:val="nil"/>
            </w:tcBorders>
            <w:shd w:val="clear" w:color="auto" w:fill="auto"/>
            <w:noWrap/>
            <w:vAlign w:val="bottom"/>
            <w:hideMark/>
          </w:tcPr>
          <w:p w:rsidR="0074316B" w:rsidRPr="00FE756F" w:rsidRDefault="0074316B" w:rsidP="0074316B">
            <w:pPr>
              <w:spacing w:line="360" w:lineRule="auto"/>
              <w:rPr>
                <w:rFonts w:ascii="Arial" w:hAnsi="Arial" w:cs="Arial"/>
                <w:sz w:val="20"/>
                <w:szCs w:val="20"/>
              </w:rPr>
            </w:pPr>
            <w:r w:rsidRPr="00FE756F">
              <w:rPr>
                <w:rFonts w:ascii="Arial" w:hAnsi="Arial" w:cs="Arial"/>
                <w:sz w:val="20"/>
                <w:szCs w:val="20"/>
              </w:rPr>
              <w:t>CATCACGATGCCAGTGGTGCGG</w:t>
            </w:r>
          </w:p>
        </w:tc>
      </w:tr>
      <w:tr w:rsidR="00FE756F" w:rsidRPr="00FE756F" w:rsidTr="0074316B">
        <w:trPr>
          <w:trHeight w:val="255"/>
        </w:trPr>
        <w:tc>
          <w:tcPr>
            <w:tcW w:w="3394" w:type="dxa"/>
            <w:tcBorders>
              <w:top w:val="nil"/>
              <w:left w:val="nil"/>
              <w:bottom w:val="single" w:sz="4" w:space="0" w:color="auto"/>
              <w:right w:val="nil"/>
            </w:tcBorders>
            <w:shd w:val="clear" w:color="000000" w:fill="C0C0C0"/>
            <w:noWrap/>
            <w:vAlign w:val="bottom"/>
            <w:hideMark/>
          </w:tcPr>
          <w:p w:rsidR="0074316B" w:rsidRPr="00FE756F" w:rsidRDefault="0074316B" w:rsidP="0074316B">
            <w:pPr>
              <w:spacing w:line="360" w:lineRule="auto"/>
              <w:rPr>
                <w:rFonts w:ascii="Arial" w:hAnsi="Arial" w:cs="Arial"/>
                <w:sz w:val="20"/>
                <w:szCs w:val="20"/>
              </w:rPr>
            </w:pPr>
            <w:r w:rsidRPr="00FE756F">
              <w:rPr>
                <w:rFonts w:ascii="Arial" w:hAnsi="Arial" w:cs="Arial"/>
                <w:sz w:val="20"/>
                <w:szCs w:val="20"/>
              </w:rPr>
              <w:t>Canine PPIA/CYPA</w:t>
            </w:r>
          </w:p>
        </w:tc>
        <w:tc>
          <w:tcPr>
            <w:tcW w:w="3806" w:type="dxa"/>
            <w:tcBorders>
              <w:top w:val="nil"/>
              <w:left w:val="nil"/>
              <w:bottom w:val="single" w:sz="4" w:space="0" w:color="auto"/>
              <w:right w:val="nil"/>
            </w:tcBorders>
            <w:shd w:val="clear" w:color="000000" w:fill="C0C0C0"/>
            <w:noWrap/>
            <w:vAlign w:val="bottom"/>
            <w:hideMark/>
          </w:tcPr>
          <w:p w:rsidR="0074316B" w:rsidRPr="00FE756F" w:rsidRDefault="0074316B" w:rsidP="0074316B">
            <w:pPr>
              <w:spacing w:line="360" w:lineRule="auto"/>
              <w:rPr>
                <w:rFonts w:ascii="Arial" w:hAnsi="Arial" w:cs="Arial"/>
                <w:sz w:val="20"/>
                <w:szCs w:val="20"/>
              </w:rPr>
            </w:pPr>
            <w:r w:rsidRPr="00FE756F">
              <w:rPr>
                <w:rFonts w:ascii="Arial" w:hAnsi="Arial" w:cs="Arial"/>
                <w:sz w:val="20"/>
                <w:szCs w:val="20"/>
              </w:rPr>
              <w:t>CCGTGTTCTTTGACATCGCCGTG</w:t>
            </w:r>
          </w:p>
        </w:tc>
        <w:tc>
          <w:tcPr>
            <w:tcW w:w="4120" w:type="dxa"/>
            <w:tcBorders>
              <w:top w:val="nil"/>
              <w:left w:val="nil"/>
              <w:bottom w:val="single" w:sz="4" w:space="0" w:color="auto"/>
              <w:right w:val="nil"/>
            </w:tcBorders>
            <w:shd w:val="clear" w:color="000000" w:fill="C0C0C0"/>
            <w:noWrap/>
            <w:vAlign w:val="bottom"/>
            <w:hideMark/>
          </w:tcPr>
          <w:p w:rsidR="0074316B" w:rsidRPr="00FE756F" w:rsidRDefault="0074316B" w:rsidP="0074316B">
            <w:pPr>
              <w:spacing w:line="360" w:lineRule="auto"/>
              <w:rPr>
                <w:rFonts w:ascii="Arial" w:hAnsi="Arial" w:cs="Arial"/>
                <w:sz w:val="20"/>
                <w:szCs w:val="20"/>
              </w:rPr>
            </w:pPr>
            <w:r w:rsidRPr="00FE756F">
              <w:rPr>
                <w:rFonts w:ascii="Arial" w:hAnsi="Arial" w:cs="Arial"/>
                <w:sz w:val="20"/>
                <w:szCs w:val="20"/>
              </w:rPr>
              <w:t>GTTCAGATAAAACAGGAGTTAAGATTC</w:t>
            </w:r>
          </w:p>
        </w:tc>
      </w:tr>
    </w:tbl>
    <w:p w:rsidR="0074316B" w:rsidRPr="00FE756F" w:rsidRDefault="0074316B">
      <w:pPr>
        <w:rPr>
          <w:rFonts w:ascii="Arial" w:hAnsi="Arial" w:cs="Arial"/>
          <w:sz w:val="22"/>
        </w:rPr>
        <w:sectPr w:rsidR="0074316B" w:rsidRPr="00FE756F" w:rsidSect="0074316B">
          <w:pgSz w:w="15840" w:h="12240" w:orient="landscape"/>
          <w:pgMar w:top="1440" w:right="1440" w:bottom="1440" w:left="1440" w:header="720" w:footer="720" w:gutter="0"/>
          <w:cols w:space="720"/>
          <w:docGrid w:linePitch="360"/>
        </w:sectPr>
      </w:pPr>
    </w:p>
    <w:p w:rsidR="00E92258" w:rsidRPr="00FE756F" w:rsidRDefault="00E92258">
      <w:pPr>
        <w:rPr>
          <w:rFonts w:ascii="Arial" w:hAnsi="Arial" w:cs="Arial"/>
          <w:sz w:val="22"/>
        </w:rPr>
      </w:pPr>
    </w:p>
    <w:p w:rsidR="00BB6982" w:rsidRPr="00FE756F" w:rsidRDefault="00CC4987" w:rsidP="001237CE">
      <w:pPr>
        <w:spacing w:line="480" w:lineRule="auto"/>
        <w:jc w:val="center"/>
        <w:rPr>
          <w:rFonts w:ascii="Arial" w:hAnsi="Arial" w:cs="Arial"/>
          <w:sz w:val="22"/>
        </w:rPr>
      </w:pPr>
      <w:r w:rsidRPr="00FE756F">
        <w:rPr>
          <w:rFonts w:ascii="Arial" w:hAnsi="Arial" w:cs="Arial"/>
          <w:noProof/>
          <w:sz w:val="22"/>
        </w:rPr>
        <w:drawing>
          <wp:inline distT="0" distB="0" distL="0" distR="0" wp14:anchorId="180A7BC1" wp14:editId="653A5794">
            <wp:extent cx="4743450" cy="3552825"/>
            <wp:effectExtent l="0" t="0" r="0" b="9525"/>
            <wp:docPr id="1" name="Picture 1" descr="L:\TorokStorb\Iwata (REV PLoS One 12-2012)\Figures and Tables for Revision\jpgs for ms\Supplemental Figure S1 for re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orokStorb\Iwata (REV PLoS One 12-2012)\Figures and Tables for Revision\jpgs for ms\Supplemental Figure S1 for revis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3450" cy="3552825"/>
                    </a:xfrm>
                    <a:prstGeom prst="rect">
                      <a:avLst/>
                    </a:prstGeom>
                    <a:noFill/>
                    <a:ln>
                      <a:noFill/>
                    </a:ln>
                  </pic:spPr>
                </pic:pic>
              </a:graphicData>
            </a:graphic>
          </wp:inline>
        </w:drawing>
      </w:r>
    </w:p>
    <w:p w:rsidR="00BB6982" w:rsidRPr="00FE756F" w:rsidRDefault="00BB6982" w:rsidP="001237CE">
      <w:pPr>
        <w:spacing w:line="480" w:lineRule="auto"/>
        <w:rPr>
          <w:rFonts w:ascii="Arial" w:hAnsi="Arial" w:cs="Arial"/>
          <w:sz w:val="22"/>
        </w:rPr>
      </w:pPr>
    </w:p>
    <w:p w:rsidR="00BB6982" w:rsidRPr="00FE756F" w:rsidRDefault="00BB6982" w:rsidP="004B3E06">
      <w:pPr>
        <w:spacing w:line="480" w:lineRule="auto"/>
        <w:rPr>
          <w:rFonts w:ascii="Arial" w:hAnsi="Arial" w:cs="Arial"/>
          <w:sz w:val="22"/>
        </w:rPr>
      </w:pPr>
      <w:r w:rsidRPr="00FE756F">
        <w:rPr>
          <w:rFonts w:ascii="Arial" w:hAnsi="Arial" w:cs="Arial"/>
          <w:b/>
          <w:sz w:val="22"/>
        </w:rPr>
        <w:t>Fig</w:t>
      </w:r>
      <w:r w:rsidR="00FC7E7B" w:rsidRPr="00FE756F">
        <w:rPr>
          <w:rFonts w:ascii="Arial" w:hAnsi="Arial" w:cs="Arial"/>
          <w:b/>
          <w:sz w:val="22"/>
        </w:rPr>
        <w:t>ure</w:t>
      </w:r>
      <w:r w:rsidRPr="00FE756F">
        <w:rPr>
          <w:rFonts w:ascii="Arial" w:hAnsi="Arial" w:cs="Arial"/>
          <w:b/>
          <w:sz w:val="22"/>
        </w:rPr>
        <w:t xml:space="preserve"> S1.  Immune </w:t>
      </w:r>
      <w:proofErr w:type="spellStart"/>
      <w:r w:rsidRPr="00FE756F">
        <w:rPr>
          <w:rFonts w:ascii="Arial" w:hAnsi="Arial" w:cs="Arial"/>
          <w:b/>
          <w:sz w:val="22"/>
        </w:rPr>
        <w:t>histochemistry</w:t>
      </w:r>
      <w:proofErr w:type="spellEnd"/>
      <w:r w:rsidRPr="00FE756F">
        <w:rPr>
          <w:rFonts w:ascii="Arial" w:hAnsi="Arial" w:cs="Arial"/>
          <w:b/>
          <w:sz w:val="22"/>
        </w:rPr>
        <w:t xml:space="preserve"> of TTF1 and </w:t>
      </w:r>
      <w:proofErr w:type="spellStart"/>
      <w:r w:rsidRPr="00FE756F">
        <w:rPr>
          <w:rFonts w:ascii="Arial" w:hAnsi="Arial" w:cs="Arial"/>
          <w:b/>
          <w:sz w:val="22"/>
        </w:rPr>
        <w:t>vWF</w:t>
      </w:r>
      <w:proofErr w:type="spellEnd"/>
      <w:r w:rsidRPr="00FE756F">
        <w:rPr>
          <w:rFonts w:ascii="Arial" w:hAnsi="Arial" w:cs="Arial"/>
          <w:b/>
          <w:sz w:val="22"/>
        </w:rPr>
        <w:t xml:space="preserve"> in canine lung.</w:t>
      </w:r>
      <w:r w:rsidRPr="00FE756F">
        <w:rPr>
          <w:rFonts w:ascii="Arial" w:hAnsi="Arial" w:cs="Arial"/>
          <w:sz w:val="22"/>
        </w:rPr>
        <w:t xml:space="preserve"> Panels A and B: Alveoli were incubated with concentration-matched rabbit </w:t>
      </w:r>
      <w:proofErr w:type="spellStart"/>
      <w:r w:rsidRPr="00FE756F">
        <w:rPr>
          <w:rFonts w:ascii="Arial" w:hAnsi="Arial" w:cs="Arial"/>
          <w:sz w:val="22"/>
        </w:rPr>
        <w:t>IgG</w:t>
      </w:r>
      <w:proofErr w:type="spellEnd"/>
      <w:r w:rsidRPr="00FE756F">
        <w:rPr>
          <w:rFonts w:ascii="Arial" w:hAnsi="Arial" w:cs="Arial"/>
          <w:sz w:val="22"/>
        </w:rPr>
        <w:t xml:space="preserve"> and anti-TTF1 antibodies, respectively. Bound antibodies were detected with HRP-conjugated secondary antibodies and DAB (brown staining). Nuclei were counter-stained with </w:t>
      </w:r>
      <w:proofErr w:type="spellStart"/>
      <w:r w:rsidRPr="00FE756F">
        <w:rPr>
          <w:rFonts w:ascii="Arial" w:hAnsi="Arial" w:cs="Arial"/>
          <w:sz w:val="22"/>
        </w:rPr>
        <w:t>hematoxylin</w:t>
      </w:r>
      <w:proofErr w:type="spellEnd"/>
      <w:r w:rsidRPr="00FE756F">
        <w:rPr>
          <w:rFonts w:ascii="Arial" w:hAnsi="Arial" w:cs="Arial"/>
          <w:sz w:val="22"/>
        </w:rPr>
        <w:t xml:space="preserve"> (blue). Original objective, X20. Panels C and D: Endothelial cells in lung capillary are negative for TTF1 but positive for </w:t>
      </w:r>
      <w:proofErr w:type="spellStart"/>
      <w:r w:rsidRPr="00FE756F">
        <w:rPr>
          <w:rFonts w:ascii="Arial" w:hAnsi="Arial" w:cs="Arial"/>
          <w:sz w:val="22"/>
        </w:rPr>
        <w:t>vWF</w:t>
      </w:r>
      <w:proofErr w:type="spellEnd"/>
      <w:r w:rsidRPr="00FE756F">
        <w:rPr>
          <w:rFonts w:ascii="Arial" w:hAnsi="Arial" w:cs="Arial"/>
          <w:sz w:val="22"/>
        </w:rPr>
        <w:t xml:space="preserve"> (Panels C and D, respectively). Original objective, X100.</w:t>
      </w:r>
    </w:p>
    <w:p w:rsidR="00BB6982" w:rsidRPr="00FE756F" w:rsidRDefault="00BB6982" w:rsidP="001237CE">
      <w:pPr>
        <w:spacing w:line="480" w:lineRule="auto"/>
        <w:rPr>
          <w:rFonts w:ascii="Arial" w:hAnsi="Arial" w:cs="Arial"/>
          <w:sz w:val="22"/>
        </w:rPr>
      </w:pPr>
      <w:r w:rsidRPr="00FE756F">
        <w:rPr>
          <w:rFonts w:ascii="Arial" w:hAnsi="Arial" w:cs="Arial"/>
          <w:sz w:val="22"/>
        </w:rPr>
        <w:br w:type="page"/>
      </w:r>
    </w:p>
    <w:p w:rsidR="00BB6982" w:rsidRPr="00FE756F" w:rsidRDefault="00CC4987" w:rsidP="001D4705">
      <w:pPr>
        <w:jc w:val="center"/>
        <w:rPr>
          <w:rFonts w:ascii="Arial" w:hAnsi="Arial" w:cs="Arial"/>
          <w:sz w:val="22"/>
        </w:rPr>
      </w:pPr>
      <w:r w:rsidRPr="00FE756F">
        <w:rPr>
          <w:rFonts w:ascii="Arial" w:hAnsi="Arial" w:cs="Arial"/>
          <w:noProof/>
          <w:sz w:val="22"/>
        </w:rPr>
        <w:lastRenderedPageBreak/>
        <w:drawing>
          <wp:inline distT="0" distB="0" distL="0" distR="0" wp14:anchorId="5BD29584" wp14:editId="38BED96C">
            <wp:extent cx="5276850" cy="5676900"/>
            <wp:effectExtent l="0" t="0" r="0" b="0"/>
            <wp:docPr id="2" name="Picture 2" descr="L:\TorokStorb\Iwata (REV PLoS One 12-2012)\Figures and Tables for Revision\jpgs for ms\Supplemental Figure S2 for re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orokStorb\Iwata (REV PLoS One 12-2012)\Figures and Tables for Revision\jpgs for ms\Supplemental Figure S2 for revis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5676900"/>
                    </a:xfrm>
                    <a:prstGeom prst="rect">
                      <a:avLst/>
                    </a:prstGeom>
                    <a:noFill/>
                    <a:ln>
                      <a:noFill/>
                    </a:ln>
                  </pic:spPr>
                </pic:pic>
              </a:graphicData>
            </a:graphic>
          </wp:inline>
        </w:drawing>
      </w:r>
    </w:p>
    <w:p w:rsidR="00BB6982" w:rsidRPr="00FE756F" w:rsidRDefault="00BB6982" w:rsidP="00E248B6">
      <w:pPr>
        <w:rPr>
          <w:rFonts w:ascii="Arial" w:hAnsi="Arial" w:cs="Arial"/>
          <w:sz w:val="22"/>
        </w:rPr>
      </w:pPr>
    </w:p>
    <w:p w:rsidR="00BB6982" w:rsidRPr="00FE756F" w:rsidRDefault="00BB6982" w:rsidP="004B3E06">
      <w:pPr>
        <w:spacing w:line="480" w:lineRule="auto"/>
        <w:rPr>
          <w:rFonts w:ascii="Arial" w:hAnsi="Arial" w:cs="Arial"/>
          <w:sz w:val="22"/>
        </w:rPr>
      </w:pPr>
      <w:r w:rsidRPr="00FE756F">
        <w:rPr>
          <w:rFonts w:ascii="Arial" w:hAnsi="Arial" w:cs="Arial"/>
          <w:b/>
          <w:sz w:val="22"/>
        </w:rPr>
        <w:t>Fig</w:t>
      </w:r>
      <w:r w:rsidR="00FC7E7B" w:rsidRPr="00FE756F">
        <w:rPr>
          <w:rFonts w:ascii="Arial" w:hAnsi="Arial" w:cs="Arial"/>
          <w:b/>
          <w:sz w:val="22"/>
        </w:rPr>
        <w:t>ure</w:t>
      </w:r>
      <w:r w:rsidRPr="00FE756F">
        <w:rPr>
          <w:rFonts w:ascii="Arial" w:hAnsi="Arial" w:cs="Arial"/>
          <w:b/>
          <w:sz w:val="22"/>
        </w:rPr>
        <w:t xml:space="preserve"> S2.  Quantification of TTF-1 positive cells in immune </w:t>
      </w:r>
      <w:proofErr w:type="spellStart"/>
      <w:r w:rsidRPr="00FE756F">
        <w:rPr>
          <w:rFonts w:ascii="Arial" w:hAnsi="Arial" w:cs="Arial"/>
          <w:b/>
          <w:sz w:val="22"/>
        </w:rPr>
        <w:t>histochemistry</w:t>
      </w:r>
      <w:proofErr w:type="spellEnd"/>
      <w:r w:rsidRPr="00FE756F">
        <w:rPr>
          <w:rFonts w:ascii="Arial" w:hAnsi="Arial" w:cs="Arial"/>
          <w:b/>
          <w:sz w:val="22"/>
        </w:rPr>
        <w:t>.</w:t>
      </w:r>
      <w:r w:rsidRPr="00FE756F">
        <w:rPr>
          <w:rFonts w:ascii="Arial" w:hAnsi="Arial" w:cs="Arial"/>
          <w:sz w:val="22"/>
        </w:rPr>
        <w:t xml:space="preserve"> In order to quantify TTF-1+ cells in alveoli of DS1 treated and untreated dogs, </w:t>
      </w:r>
      <w:proofErr w:type="spellStart"/>
      <w:r w:rsidRPr="00FE756F">
        <w:rPr>
          <w:rFonts w:ascii="Arial" w:hAnsi="Arial" w:cs="Arial"/>
          <w:sz w:val="22"/>
        </w:rPr>
        <w:t>HistoQuest</w:t>
      </w:r>
      <w:proofErr w:type="spellEnd"/>
      <w:r w:rsidRPr="00FE756F">
        <w:rPr>
          <w:rFonts w:ascii="Arial" w:hAnsi="Arial" w:cs="Arial"/>
          <w:sz w:val="22"/>
        </w:rPr>
        <w:t xml:space="preserve"> software from </w:t>
      </w:r>
      <w:proofErr w:type="spellStart"/>
      <w:r w:rsidRPr="00FE756F">
        <w:rPr>
          <w:rFonts w:ascii="Arial" w:hAnsi="Arial" w:cs="Arial"/>
          <w:sz w:val="22"/>
        </w:rPr>
        <w:t>Tissuegnostics</w:t>
      </w:r>
      <w:proofErr w:type="spellEnd"/>
      <w:r w:rsidRPr="00FE756F">
        <w:rPr>
          <w:rFonts w:ascii="Arial" w:hAnsi="Arial" w:cs="Arial"/>
          <w:sz w:val="22"/>
        </w:rPr>
        <w:t xml:space="preserve"> (Vienna, Austria) was used. Panel A: Immune </w:t>
      </w:r>
      <w:proofErr w:type="spellStart"/>
      <w:r w:rsidRPr="00FE756F">
        <w:rPr>
          <w:rFonts w:ascii="Arial" w:hAnsi="Arial" w:cs="Arial"/>
          <w:sz w:val="22"/>
        </w:rPr>
        <w:t>histochemistry</w:t>
      </w:r>
      <w:proofErr w:type="spellEnd"/>
      <w:r w:rsidRPr="00FE756F">
        <w:rPr>
          <w:rFonts w:ascii="Arial" w:hAnsi="Arial" w:cs="Arial"/>
          <w:sz w:val="22"/>
        </w:rPr>
        <w:t xml:space="preserve"> of TTF-1 was conducted where brown and blue nuclei were TTF-1 positive and negative cells, respectively. Six areas on the section of alveoli were chosen blindly. Panel B: One of the six areas was selected (the red square in the insert), and color and size segmentations were applied to separate TTF-1+ and TTF-1 negative nuclei and to identify single cells. TTF-1 positive and </w:t>
      </w:r>
      <w:r w:rsidRPr="00FE756F">
        <w:rPr>
          <w:rFonts w:ascii="Arial" w:hAnsi="Arial" w:cs="Arial"/>
          <w:sz w:val="22"/>
        </w:rPr>
        <w:lastRenderedPageBreak/>
        <w:t xml:space="preserve">negative cells were pseudo-colored in red and green, respectively. Panels C and D: Intensity of brown (TTF-1+ cells) and blue (TTF-1- cells) staining from non-irradiated control and irradiated lungs, respectively. Red blood cells (RBCs) were identified in the irradiated lung in Panel D. Size of RBCs was smaller than alveolar cells as expected (Panel E). Panel F: Immune </w:t>
      </w:r>
      <w:proofErr w:type="spellStart"/>
      <w:r w:rsidRPr="00FE756F">
        <w:rPr>
          <w:rFonts w:ascii="Arial" w:hAnsi="Arial" w:cs="Arial"/>
          <w:sz w:val="22"/>
        </w:rPr>
        <w:t>histochemistry</w:t>
      </w:r>
      <w:proofErr w:type="spellEnd"/>
      <w:r w:rsidRPr="00FE756F">
        <w:rPr>
          <w:rFonts w:ascii="Arial" w:hAnsi="Arial" w:cs="Arial"/>
          <w:sz w:val="22"/>
        </w:rPr>
        <w:t xml:space="preserve"> using anti-TTF1 antibodies and concentration-matched rabbit </w:t>
      </w:r>
      <w:proofErr w:type="spellStart"/>
      <w:r w:rsidRPr="00FE756F">
        <w:rPr>
          <w:rFonts w:ascii="Arial" w:hAnsi="Arial" w:cs="Arial"/>
          <w:sz w:val="22"/>
        </w:rPr>
        <w:t>IgG</w:t>
      </w:r>
      <w:proofErr w:type="spellEnd"/>
      <w:r w:rsidRPr="00FE756F">
        <w:rPr>
          <w:rFonts w:ascii="Arial" w:hAnsi="Arial" w:cs="Arial"/>
          <w:sz w:val="22"/>
        </w:rPr>
        <w:t xml:space="preserve"> (Isotype) was conducted. % of TTF1+ cells were calculated as a ratio of brown cell number over </w:t>
      </w:r>
      <w:proofErr w:type="spellStart"/>
      <w:r w:rsidRPr="00FE756F">
        <w:rPr>
          <w:rFonts w:ascii="Arial" w:hAnsi="Arial" w:cs="Arial"/>
          <w:sz w:val="22"/>
        </w:rPr>
        <w:t>brown+blue</w:t>
      </w:r>
      <w:proofErr w:type="spellEnd"/>
      <w:r w:rsidRPr="00FE756F">
        <w:rPr>
          <w:rFonts w:ascii="Arial" w:hAnsi="Arial" w:cs="Arial"/>
          <w:sz w:val="22"/>
        </w:rPr>
        <w:t xml:space="preserve"> cell number. The values are represented as an average of 3 sections (&gt;6 areas per section).</w:t>
      </w:r>
    </w:p>
    <w:p w:rsidR="00BB6982" w:rsidRPr="00FE756F" w:rsidRDefault="00BB6982">
      <w:pPr>
        <w:rPr>
          <w:rFonts w:ascii="Arial" w:hAnsi="Arial" w:cs="Arial"/>
          <w:sz w:val="22"/>
        </w:rPr>
      </w:pPr>
    </w:p>
    <w:p w:rsidR="00CC4987" w:rsidRPr="00FE756F" w:rsidRDefault="00CC4987">
      <w:pPr>
        <w:rPr>
          <w:rFonts w:ascii="Arial" w:hAnsi="Arial" w:cs="Arial"/>
          <w:sz w:val="22"/>
        </w:rPr>
      </w:pPr>
      <w:r w:rsidRPr="00FE756F">
        <w:rPr>
          <w:rFonts w:ascii="Arial" w:hAnsi="Arial" w:cs="Arial"/>
          <w:sz w:val="22"/>
        </w:rPr>
        <w:br w:type="page"/>
      </w:r>
    </w:p>
    <w:p w:rsidR="00BB6982" w:rsidRPr="00FE756F" w:rsidRDefault="00BB6982" w:rsidP="00E248B6">
      <w:pPr>
        <w:rPr>
          <w:rFonts w:ascii="Arial" w:hAnsi="Arial" w:cs="Arial"/>
          <w:sz w:val="22"/>
        </w:rPr>
      </w:pPr>
    </w:p>
    <w:p w:rsidR="00BB6982" w:rsidRPr="00FE756F" w:rsidRDefault="00CC4987" w:rsidP="001D4705">
      <w:pPr>
        <w:spacing w:line="480" w:lineRule="auto"/>
        <w:rPr>
          <w:rFonts w:ascii="Arial" w:hAnsi="Arial" w:cs="Arial"/>
          <w:sz w:val="22"/>
        </w:rPr>
      </w:pPr>
      <w:r w:rsidRPr="00FE756F">
        <w:rPr>
          <w:rFonts w:ascii="Arial" w:hAnsi="Arial" w:cs="Arial"/>
          <w:noProof/>
          <w:sz w:val="22"/>
        </w:rPr>
        <w:drawing>
          <wp:inline distT="0" distB="0" distL="0" distR="0" wp14:anchorId="23873BF9" wp14:editId="16148525">
            <wp:extent cx="5600700" cy="2171700"/>
            <wp:effectExtent l="0" t="0" r="0" b="0"/>
            <wp:docPr id="3" name="Picture 3" descr="L:\TorokStorb\Iwata (REV PLoS One 12-2012)\Figures and Tables for Revision\jpgs for ms\Supplemental Figure S3 for re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orokStorb\Iwata (REV PLoS One 12-2012)\Figures and Tables for Revision\jpgs for ms\Supplemental Figure S3 for revisi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0700" cy="2171700"/>
                    </a:xfrm>
                    <a:prstGeom prst="rect">
                      <a:avLst/>
                    </a:prstGeom>
                    <a:noFill/>
                    <a:ln>
                      <a:noFill/>
                    </a:ln>
                  </pic:spPr>
                </pic:pic>
              </a:graphicData>
            </a:graphic>
          </wp:inline>
        </w:drawing>
      </w:r>
    </w:p>
    <w:p w:rsidR="00BB6982" w:rsidRPr="00FE756F" w:rsidRDefault="00BB6982" w:rsidP="001D4705">
      <w:pPr>
        <w:spacing w:line="480" w:lineRule="auto"/>
        <w:rPr>
          <w:rFonts w:ascii="Arial" w:hAnsi="Arial" w:cs="Arial"/>
          <w:sz w:val="22"/>
        </w:rPr>
      </w:pPr>
    </w:p>
    <w:p w:rsidR="00BB6982" w:rsidRPr="00FE756F" w:rsidRDefault="00BB6982" w:rsidP="00892955">
      <w:pPr>
        <w:spacing w:line="480" w:lineRule="auto"/>
        <w:rPr>
          <w:rFonts w:ascii="Arial" w:hAnsi="Arial" w:cs="Arial"/>
          <w:sz w:val="22"/>
        </w:rPr>
      </w:pPr>
      <w:r w:rsidRPr="00FE756F">
        <w:rPr>
          <w:rFonts w:ascii="Arial" w:hAnsi="Arial" w:cs="Arial"/>
          <w:b/>
          <w:sz w:val="22"/>
        </w:rPr>
        <w:t>Fig</w:t>
      </w:r>
      <w:r w:rsidR="00FC7E7B" w:rsidRPr="00FE756F">
        <w:rPr>
          <w:rFonts w:ascii="Arial" w:hAnsi="Arial" w:cs="Arial"/>
          <w:b/>
          <w:sz w:val="22"/>
        </w:rPr>
        <w:t>ure</w:t>
      </w:r>
      <w:r w:rsidRPr="00FE756F">
        <w:rPr>
          <w:rFonts w:ascii="Arial" w:hAnsi="Arial" w:cs="Arial"/>
          <w:b/>
          <w:sz w:val="22"/>
        </w:rPr>
        <w:t xml:space="preserve"> S</w:t>
      </w:r>
      <w:r w:rsidR="004A2390" w:rsidRPr="00FE756F">
        <w:rPr>
          <w:rFonts w:ascii="Arial" w:hAnsi="Arial" w:cs="Arial"/>
          <w:b/>
          <w:sz w:val="22"/>
        </w:rPr>
        <w:t>3</w:t>
      </w:r>
      <w:r w:rsidRPr="00FE756F">
        <w:rPr>
          <w:rFonts w:ascii="Arial" w:hAnsi="Arial" w:cs="Arial"/>
          <w:b/>
          <w:sz w:val="22"/>
        </w:rPr>
        <w:t xml:space="preserve">. </w:t>
      </w:r>
      <w:r w:rsidR="00B60CA5" w:rsidRPr="00FE756F">
        <w:rPr>
          <w:rFonts w:ascii="Arial" w:hAnsi="Arial" w:cs="Arial"/>
          <w:b/>
          <w:sz w:val="22"/>
        </w:rPr>
        <w:t xml:space="preserve">Kinetics </w:t>
      </w:r>
      <w:r w:rsidR="00341A30" w:rsidRPr="00FE756F">
        <w:rPr>
          <w:rFonts w:ascii="Arial" w:hAnsi="Arial" w:cs="Arial"/>
          <w:b/>
          <w:sz w:val="22"/>
        </w:rPr>
        <w:t xml:space="preserve">of </w:t>
      </w:r>
      <w:r w:rsidR="00A13E13" w:rsidRPr="00FE756F">
        <w:rPr>
          <w:rFonts w:ascii="Arial" w:hAnsi="Arial" w:cs="Arial"/>
          <w:b/>
          <w:sz w:val="22"/>
        </w:rPr>
        <w:t>ELC colony assay</w:t>
      </w:r>
      <w:r w:rsidR="00B60CA5" w:rsidRPr="00FE756F">
        <w:rPr>
          <w:rFonts w:ascii="Arial" w:hAnsi="Arial" w:cs="Arial"/>
          <w:b/>
          <w:sz w:val="22"/>
        </w:rPr>
        <w:t xml:space="preserve"> and growth of the colonies</w:t>
      </w:r>
      <w:r w:rsidR="00A13E13" w:rsidRPr="00FE756F">
        <w:rPr>
          <w:rFonts w:ascii="Arial" w:hAnsi="Arial" w:cs="Arial"/>
          <w:b/>
          <w:sz w:val="22"/>
        </w:rPr>
        <w:t>.</w:t>
      </w:r>
      <w:r w:rsidRPr="00FE756F">
        <w:rPr>
          <w:rFonts w:ascii="Arial" w:hAnsi="Arial" w:cs="Arial"/>
          <w:b/>
          <w:sz w:val="22"/>
        </w:rPr>
        <w:t xml:space="preserve"> Panel A:</w:t>
      </w:r>
      <w:r w:rsidRPr="00FE756F">
        <w:rPr>
          <w:rFonts w:ascii="Arial" w:hAnsi="Arial" w:cs="Arial"/>
          <w:sz w:val="22"/>
        </w:rPr>
        <w:t xml:space="preserve"> PBMC (10×10</w:t>
      </w:r>
      <w:r w:rsidRPr="00FE756F">
        <w:rPr>
          <w:rFonts w:ascii="Arial" w:hAnsi="Arial" w:cs="Arial"/>
          <w:sz w:val="22"/>
          <w:vertAlign w:val="superscript"/>
        </w:rPr>
        <w:t>6</w:t>
      </w:r>
      <w:r w:rsidRPr="00FE756F">
        <w:rPr>
          <w:rFonts w:ascii="Arial" w:hAnsi="Arial" w:cs="Arial"/>
          <w:sz w:val="22"/>
        </w:rPr>
        <w:t xml:space="preserve">) from one of the </w:t>
      </w:r>
      <w:r w:rsidR="00B47E6C" w:rsidRPr="00FE756F">
        <w:rPr>
          <w:rFonts w:ascii="Arial" w:hAnsi="Arial" w:cs="Arial"/>
          <w:sz w:val="22"/>
        </w:rPr>
        <w:t>DS1</w:t>
      </w:r>
      <w:r w:rsidRPr="00FE756F">
        <w:rPr>
          <w:rFonts w:ascii="Arial" w:hAnsi="Arial" w:cs="Arial"/>
          <w:sz w:val="22"/>
        </w:rPr>
        <w:t xml:space="preserve"> dogs (H332) were harvested one day post DS-1 infusion, and cultured for 31 day as shown in X-axis. Number of ELC colonies bigger than </w:t>
      </w:r>
      <w:r w:rsidR="003B73F4" w:rsidRPr="00FE756F">
        <w:rPr>
          <w:rFonts w:ascii="Arial" w:hAnsi="Arial" w:cs="Arial"/>
          <w:sz w:val="22"/>
        </w:rPr>
        <w:t>2</w:t>
      </w:r>
      <w:r w:rsidRPr="00FE756F">
        <w:rPr>
          <w:rFonts w:ascii="Arial" w:hAnsi="Arial" w:cs="Arial"/>
          <w:sz w:val="22"/>
        </w:rPr>
        <w:t xml:space="preserve"> mm diameter was scored. </w:t>
      </w:r>
      <w:r w:rsidRPr="00FE756F">
        <w:rPr>
          <w:rFonts w:ascii="Arial" w:hAnsi="Arial" w:cs="Arial"/>
          <w:b/>
          <w:sz w:val="22"/>
        </w:rPr>
        <w:t>Panel B:</w:t>
      </w:r>
      <w:r w:rsidRPr="00FE756F">
        <w:rPr>
          <w:rFonts w:ascii="Arial" w:hAnsi="Arial" w:cs="Arial"/>
          <w:sz w:val="22"/>
        </w:rPr>
        <w:t xml:space="preserve"> PBMC </w:t>
      </w:r>
      <w:r w:rsidR="003B73F4" w:rsidRPr="00FE756F">
        <w:rPr>
          <w:rFonts w:ascii="Arial" w:hAnsi="Arial" w:cs="Arial"/>
          <w:sz w:val="22"/>
        </w:rPr>
        <w:t>of the same dog</w:t>
      </w:r>
      <w:r w:rsidR="00552E52" w:rsidRPr="00FE756F">
        <w:rPr>
          <w:rFonts w:ascii="Arial" w:hAnsi="Arial" w:cs="Arial"/>
          <w:sz w:val="22"/>
        </w:rPr>
        <w:t xml:space="preserve"> (H332)</w:t>
      </w:r>
      <w:r w:rsidR="003B73F4" w:rsidRPr="00FE756F">
        <w:rPr>
          <w:rFonts w:ascii="Arial" w:hAnsi="Arial" w:cs="Arial"/>
          <w:sz w:val="22"/>
        </w:rPr>
        <w:t xml:space="preserve"> </w:t>
      </w:r>
      <w:r w:rsidRPr="00FE756F">
        <w:rPr>
          <w:rFonts w:ascii="Arial" w:hAnsi="Arial" w:cs="Arial"/>
          <w:sz w:val="22"/>
        </w:rPr>
        <w:t>were harvested 1 to 7 days post DS-1 infusion, and cultured for 30-31 days. Size of the colonies was measured (mm in diameter)</w:t>
      </w:r>
      <w:r w:rsidR="003B73F4" w:rsidRPr="00FE756F">
        <w:rPr>
          <w:rFonts w:ascii="Arial" w:hAnsi="Arial" w:cs="Arial"/>
          <w:sz w:val="22"/>
        </w:rPr>
        <w:t xml:space="preserve">, and </w:t>
      </w:r>
      <w:r w:rsidR="00CC4987" w:rsidRPr="00FE756F">
        <w:rPr>
          <w:rFonts w:ascii="Arial" w:hAnsi="Arial" w:cs="Arial"/>
          <w:sz w:val="22"/>
        </w:rPr>
        <w:t>m</w:t>
      </w:r>
      <w:r w:rsidR="003B73F4" w:rsidRPr="00FE756F">
        <w:rPr>
          <w:rFonts w:ascii="Arial" w:hAnsi="Arial" w:cs="Arial"/>
          <w:sz w:val="22"/>
        </w:rPr>
        <w:t xml:space="preserve">eans+/-SDs were calculated (n=32, 2, 4, and 30 for Day 1, 2, 4, and 7, respectively). </w:t>
      </w:r>
    </w:p>
    <w:p w:rsidR="00BB6982" w:rsidRPr="00FE756F" w:rsidRDefault="00BB6982" w:rsidP="00892955">
      <w:pPr>
        <w:spacing w:line="480" w:lineRule="auto"/>
        <w:rPr>
          <w:rFonts w:ascii="Arial" w:hAnsi="Arial" w:cs="Arial"/>
          <w:sz w:val="22"/>
        </w:rPr>
      </w:pPr>
    </w:p>
    <w:p w:rsidR="00BB6982" w:rsidRPr="00FE756F" w:rsidRDefault="00BB6982" w:rsidP="001237CE">
      <w:pPr>
        <w:spacing w:line="480" w:lineRule="auto"/>
        <w:rPr>
          <w:rFonts w:ascii="Arial" w:hAnsi="Arial" w:cs="Arial"/>
          <w:sz w:val="22"/>
        </w:rPr>
      </w:pPr>
      <w:r w:rsidRPr="00FE756F">
        <w:rPr>
          <w:rFonts w:ascii="Arial" w:hAnsi="Arial" w:cs="Arial"/>
          <w:sz w:val="22"/>
        </w:rPr>
        <w:br w:type="page"/>
      </w:r>
    </w:p>
    <w:p w:rsidR="00BB6982" w:rsidRPr="00FE756F" w:rsidRDefault="00EA6D80" w:rsidP="001237CE">
      <w:pPr>
        <w:spacing w:line="480" w:lineRule="auto"/>
        <w:rPr>
          <w:rFonts w:ascii="Arial" w:hAnsi="Arial" w:cs="Arial"/>
          <w:sz w:val="22"/>
        </w:rPr>
      </w:pPr>
      <w:r w:rsidRPr="00FE756F">
        <w:rPr>
          <w:rFonts w:ascii="Arial" w:hAnsi="Arial" w:cs="Arial"/>
          <w:noProof/>
          <w:sz w:val="22"/>
        </w:rPr>
        <w:lastRenderedPageBreak/>
        <w:drawing>
          <wp:inline distT="0" distB="0" distL="0" distR="0" wp14:anchorId="1D0D3FE3" wp14:editId="2058BBB0">
            <wp:extent cx="6019800" cy="1485900"/>
            <wp:effectExtent l="0" t="0" r="0" b="0"/>
            <wp:docPr id="11" name="Picture 11" descr="Supplemental Figure s1_ Experimental design_06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pplemental Figure s1_ Experimental design_06 cop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9800" cy="1485900"/>
                    </a:xfrm>
                    <a:prstGeom prst="rect">
                      <a:avLst/>
                    </a:prstGeom>
                    <a:noFill/>
                    <a:ln>
                      <a:noFill/>
                    </a:ln>
                  </pic:spPr>
                </pic:pic>
              </a:graphicData>
            </a:graphic>
          </wp:inline>
        </w:drawing>
      </w:r>
    </w:p>
    <w:p w:rsidR="00BB6982" w:rsidRPr="00FE756F" w:rsidRDefault="00BB6982" w:rsidP="001237CE">
      <w:pPr>
        <w:spacing w:line="480" w:lineRule="auto"/>
        <w:rPr>
          <w:rFonts w:ascii="Arial" w:hAnsi="Arial" w:cs="Arial"/>
          <w:sz w:val="22"/>
        </w:rPr>
      </w:pPr>
    </w:p>
    <w:p w:rsidR="00BB6982" w:rsidRPr="00FE756F" w:rsidRDefault="00BB6982" w:rsidP="001237CE">
      <w:pPr>
        <w:spacing w:line="480" w:lineRule="auto"/>
        <w:rPr>
          <w:rFonts w:ascii="Arial" w:hAnsi="Arial" w:cs="Arial"/>
          <w:b/>
          <w:sz w:val="22"/>
        </w:rPr>
      </w:pPr>
      <w:r w:rsidRPr="00FE756F">
        <w:rPr>
          <w:rFonts w:ascii="Arial" w:hAnsi="Arial" w:cs="Arial"/>
          <w:b/>
          <w:sz w:val="22"/>
        </w:rPr>
        <w:t>Fig</w:t>
      </w:r>
      <w:r w:rsidR="00FC7E7B" w:rsidRPr="00FE756F">
        <w:rPr>
          <w:rFonts w:ascii="Arial" w:hAnsi="Arial" w:cs="Arial"/>
          <w:b/>
          <w:sz w:val="22"/>
        </w:rPr>
        <w:t>ure</w:t>
      </w:r>
      <w:r w:rsidRPr="00FE756F">
        <w:rPr>
          <w:rFonts w:ascii="Arial" w:hAnsi="Arial" w:cs="Arial"/>
          <w:b/>
          <w:sz w:val="22"/>
        </w:rPr>
        <w:t xml:space="preserve"> S</w:t>
      </w:r>
      <w:r w:rsidR="004A2390" w:rsidRPr="00FE756F">
        <w:rPr>
          <w:rFonts w:ascii="Arial" w:hAnsi="Arial" w:cs="Arial"/>
          <w:b/>
          <w:sz w:val="22"/>
        </w:rPr>
        <w:t>4</w:t>
      </w:r>
      <w:r w:rsidRPr="00FE756F">
        <w:rPr>
          <w:rFonts w:ascii="Arial" w:hAnsi="Arial" w:cs="Arial"/>
          <w:b/>
          <w:sz w:val="22"/>
        </w:rPr>
        <w:t>.  Schematic diagram of experimental design for lung irradiation and DS1 cell infusion.</w:t>
      </w:r>
    </w:p>
    <w:p w:rsidR="00BB6982" w:rsidRPr="00FE756F" w:rsidRDefault="00BB6982" w:rsidP="001237CE">
      <w:pPr>
        <w:spacing w:line="480" w:lineRule="auto"/>
        <w:rPr>
          <w:rFonts w:ascii="Arial" w:hAnsi="Arial" w:cs="Arial"/>
          <w:sz w:val="22"/>
        </w:rPr>
      </w:pPr>
    </w:p>
    <w:p w:rsidR="00BB6982" w:rsidRPr="00FE756F" w:rsidRDefault="00BB6982" w:rsidP="00892955">
      <w:pPr>
        <w:spacing w:line="480" w:lineRule="auto"/>
        <w:rPr>
          <w:rFonts w:ascii="Arial" w:hAnsi="Arial" w:cs="Arial"/>
          <w:sz w:val="22"/>
        </w:rPr>
      </w:pPr>
    </w:p>
    <w:sectPr w:rsidR="00BB6982" w:rsidRPr="00FE756F" w:rsidSect="0055589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55F8" w:rsidRDefault="004F55F8">
      <w:r>
        <w:separator/>
      </w:r>
    </w:p>
  </w:endnote>
  <w:endnote w:type="continuationSeparator" w:id="0">
    <w:p w:rsidR="004F55F8" w:rsidRDefault="004F5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5F8" w:rsidRDefault="004F55F8" w:rsidP="00C129C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F55F8" w:rsidRDefault="004F55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5F8" w:rsidRPr="0055589E" w:rsidRDefault="004F55F8" w:rsidP="0055589E">
    <w:pPr>
      <w:pStyle w:val="Footer"/>
      <w:tabs>
        <w:tab w:val="clear" w:pos="8640"/>
        <w:tab w:val="right" w:pos="9270"/>
      </w:tabs>
      <w:rPr>
        <w:rFonts w:ascii="Arial" w:hAnsi="Arial"/>
        <w:sz w:val="18"/>
      </w:rPr>
    </w:pPr>
    <w:r>
      <w:rPr>
        <w:rFonts w:ascii="Arial" w:hAnsi="Arial"/>
        <w:i/>
        <w:sz w:val="18"/>
      </w:rPr>
      <w:t xml:space="preserve">PLoS One   </w:t>
    </w:r>
    <w:r w:rsidRPr="0055589E">
      <w:rPr>
        <w:rFonts w:ascii="Arial" w:hAnsi="Arial"/>
        <w:sz w:val="18"/>
      </w:rPr>
      <w:t xml:space="preserve">Manus \ Torok-Storb \ </w:t>
    </w:r>
    <w:proofErr w:type="spellStart"/>
    <w:r w:rsidRPr="0055589E">
      <w:rPr>
        <w:rFonts w:ascii="Arial" w:hAnsi="Arial"/>
        <w:sz w:val="18"/>
      </w:rPr>
      <w:t>Iwata_DSI</w:t>
    </w:r>
    <w:proofErr w:type="spellEnd"/>
    <w:r w:rsidRPr="0055589E">
      <w:rPr>
        <w:rFonts w:ascii="Arial" w:hAnsi="Arial"/>
        <w:sz w:val="18"/>
      </w:rPr>
      <w:t xml:space="preserve">-IR Lung.ms.doc   </w:t>
    </w:r>
    <w:r w:rsidRPr="0055589E">
      <w:rPr>
        <w:rFonts w:ascii="Arial" w:hAnsi="Arial"/>
        <w:sz w:val="18"/>
      </w:rPr>
      <w:fldChar w:fldCharType="begin"/>
    </w:r>
    <w:r w:rsidRPr="0055589E">
      <w:rPr>
        <w:rFonts w:ascii="Arial" w:hAnsi="Arial"/>
        <w:sz w:val="18"/>
      </w:rPr>
      <w:instrText xml:space="preserve"> DATE \@ "M/d/yyyy h:mm am/pm" </w:instrText>
    </w:r>
    <w:r w:rsidRPr="0055589E">
      <w:rPr>
        <w:rFonts w:ascii="Arial" w:hAnsi="Arial"/>
        <w:sz w:val="18"/>
      </w:rPr>
      <w:fldChar w:fldCharType="separate"/>
    </w:r>
    <w:r w:rsidR="00FE756F">
      <w:rPr>
        <w:rFonts w:ascii="Arial" w:hAnsi="Arial"/>
        <w:noProof/>
        <w:sz w:val="18"/>
      </w:rPr>
      <w:t>1/24/2013 10:25 AM</w:t>
    </w:r>
    <w:r w:rsidRPr="0055589E">
      <w:rPr>
        <w:rFonts w:ascii="Arial" w:hAnsi="Arial"/>
        <w:sz w:val="18"/>
      </w:rPr>
      <w:fldChar w:fldCharType="end"/>
    </w:r>
    <w:r w:rsidRPr="0055589E">
      <w:rPr>
        <w:rFonts w:ascii="Arial" w:hAnsi="Arial"/>
        <w:sz w:val="18"/>
      </w:rPr>
      <w:tab/>
    </w:r>
    <w:r w:rsidRPr="0055589E">
      <w:rPr>
        <w:rFonts w:ascii="Arial" w:hAnsi="Arial"/>
        <w:sz w:val="18"/>
      </w:rPr>
      <w:fldChar w:fldCharType="begin"/>
    </w:r>
    <w:r w:rsidRPr="0055589E">
      <w:rPr>
        <w:rFonts w:ascii="Arial" w:hAnsi="Arial"/>
        <w:sz w:val="18"/>
      </w:rPr>
      <w:instrText xml:space="preserve"> PAGE   \* MERGEFORMAT </w:instrText>
    </w:r>
    <w:r w:rsidRPr="0055589E">
      <w:rPr>
        <w:rFonts w:ascii="Arial" w:hAnsi="Arial"/>
        <w:sz w:val="18"/>
      </w:rPr>
      <w:fldChar w:fldCharType="separate"/>
    </w:r>
    <w:r w:rsidR="00F55B25">
      <w:rPr>
        <w:rFonts w:ascii="Arial" w:hAnsi="Arial"/>
        <w:noProof/>
        <w:sz w:val="18"/>
      </w:rPr>
      <w:t>1</w:t>
    </w:r>
    <w:r w:rsidRPr="0055589E">
      <w:rPr>
        <w:rFonts w:ascii="Arial" w:hAnsi="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55F8" w:rsidRDefault="004F55F8">
      <w:r>
        <w:separator/>
      </w:r>
    </w:p>
  </w:footnote>
  <w:footnote w:type="continuationSeparator" w:id="0">
    <w:p w:rsidR="004F55F8" w:rsidRDefault="004F55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77698A4"/>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D0C6DFB6"/>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5DDE7B12"/>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D0BEA236"/>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180278C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BDA462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BEAD12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834ED1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582994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498864E"/>
    <w:lvl w:ilvl="0">
      <w:start w:val="1"/>
      <w:numFmt w:val="bullet"/>
      <w:lvlText w:val=""/>
      <w:lvlJc w:val="left"/>
      <w:pPr>
        <w:tabs>
          <w:tab w:val="num" w:pos="360"/>
        </w:tabs>
        <w:ind w:left="360" w:hanging="360"/>
      </w:pPr>
      <w:rPr>
        <w:rFonts w:ascii="Symbol" w:hAnsi="Symbol" w:hint="default"/>
      </w:rPr>
    </w:lvl>
  </w:abstractNum>
  <w:abstractNum w:abstractNumId="10">
    <w:nsid w:val="12295BE0"/>
    <w:multiLevelType w:val="hybridMultilevel"/>
    <w:tmpl w:val="CD9200C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1">
    <w:nsid w:val="2C782080"/>
    <w:multiLevelType w:val="hybridMultilevel"/>
    <w:tmpl w:val="2DA20EF8"/>
    <w:lvl w:ilvl="0" w:tplc="04090019">
      <w:start w:val="1"/>
      <w:numFmt w:val="lowerLetter"/>
      <w:lvlText w:val="%1."/>
      <w:lvlJc w:val="left"/>
      <w:pPr>
        <w:ind w:left="867" w:hanging="435"/>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2">
    <w:nsid w:val="51EE6CC6"/>
    <w:multiLevelType w:val="hybridMultilevel"/>
    <w:tmpl w:val="2DA20EF8"/>
    <w:lvl w:ilvl="0" w:tplc="04090019">
      <w:start w:val="1"/>
      <w:numFmt w:val="lowerLetter"/>
      <w:lvlText w:val="%1."/>
      <w:lvlJc w:val="left"/>
      <w:pPr>
        <w:ind w:left="867" w:hanging="435"/>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M:\WinRM12\Program\Styles\PloS.os&lt;/Style&gt;&lt;LeftDelim&gt;{&lt;/LeftDelim&gt;&lt;RightDelim&gt;}&lt;/RightDelim&gt;&lt;FontName&gt;Arial&lt;/FontName&gt;&lt;FontSize&gt;11&lt;/FontSize&gt;&lt;ReflistTitle&gt;Reference List&lt;/ReflistTitle&gt;&lt;StartingRefnum&gt;1&lt;/StartingRefnum&gt;&lt;FirstLineIndent&gt;0&lt;/FirstLineIndent&gt;&lt;HangingIndent&gt;72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EDT&lt;/item&gt;&lt;/Libraries&gt;&lt;/ENLibraries&gt;"/>
    <w:docVar w:name="RMDelimEnd" w:val="}"/>
    <w:docVar w:name="RMDelimStart" w:val="{"/>
    <w:docVar w:name="RMRefListBookmark" w:val="RMRefList_Iwata_DSI_IR_Lung_08_09_2012_0"/>
    <w:docVar w:name="RMSetupInfo" w:val="465C5C776C756135305C524D393520436C69656E7420496E7374616C6C5C5374796C65735C726573746F7265645C50726F632E4E61746C2E416361642E5363692E5553412E6F730E5265666572656E6365204C697374000E00000000000000D002000001000100010000010000022E20000200010005417269616C0B000000000000000000000001000000000000C00410E16B580901000000F8DB1200F8DA120074DB12000100000078DB1200"/>
  </w:docVars>
  <w:rsids>
    <w:rsidRoot w:val="00284FEF"/>
    <w:rsid w:val="00000C87"/>
    <w:rsid w:val="0000140E"/>
    <w:rsid w:val="0000546B"/>
    <w:rsid w:val="000063C6"/>
    <w:rsid w:val="0001070B"/>
    <w:rsid w:val="00013271"/>
    <w:rsid w:val="0003140F"/>
    <w:rsid w:val="0003190F"/>
    <w:rsid w:val="00031CE1"/>
    <w:rsid w:val="0003324F"/>
    <w:rsid w:val="000356FC"/>
    <w:rsid w:val="00036580"/>
    <w:rsid w:val="000442F1"/>
    <w:rsid w:val="00045DB9"/>
    <w:rsid w:val="00046F7D"/>
    <w:rsid w:val="00047241"/>
    <w:rsid w:val="00047359"/>
    <w:rsid w:val="0005019A"/>
    <w:rsid w:val="00053E10"/>
    <w:rsid w:val="00057F38"/>
    <w:rsid w:val="00060AE5"/>
    <w:rsid w:val="00062592"/>
    <w:rsid w:val="000649AB"/>
    <w:rsid w:val="000659AB"/>
    <w:rsid w:val="00066CE5"/>
    <w:rsid w:val="00072281"/>
    <w:rsid w:val="00072606"/>
    <w:rsid w:val="000734EA"/>
    <w:rsid w:val="00074214"/>
    <w:rsid w:val="00074792"/>
    <w:rsid w:val="00080892"/>
    <w:rsid w:val="00082483"/>
    <w:rsid w:val="00082B67"/>
    <w:rsid w:val="00083078"/>
    <w:rsid w:val="000860F6"/>
    <w:rsid w:val="00087045"/>
    <w:rsid w:val="00087319"/>
    <w:rsid w:val="000879B8"/>
    <w:rsid w:val="0009038C"/>
    <w:rsid w:val="000921BB"/>
    <w:rsid w:val="00094443"/>
    <w:rsid w:val="00096122"/>
    <w:rsid w:val="00096A87"/>
    <w:rsid w:val="0009708B"/>
    <w:rsid w:val="000A1810"/>
    <w:rsid w:val="000A3BA9"/>
    <w:rsid w:val="000A42CD"/>
    <w:rsid w:val="000A4400"/>
    <w:rsid w:val="000B0027"/>
    <w:rsid w:val="000B1E8E"/>
    <w:rsid w:val="000B2047"/>
    <w:rsid w:val="000B25EC"/>
    <w:rsid w:val="000B5B6B"/>
    <w:rsid w:val="000B6E41"/>
    <w:rsid w:val="000B7D8C"/>
    <w:rsid w:val="000C0FD3"/>
    <w:rsid w:val="000C483A"/>
    <w:rsid w:val="000C4C82"/>
    <w:rsid w:val="000E041D"/>
    <w:rsid w:val="000E17D9"/>
    <w:rsid w:val="000E568B"/>
    <w:rsid w:val="000E744C"/>
    <w:rsid w:val="000F1BBD"/>
    <w:rsid w:val="000F1DED"/>
    <w:rsid w:val="000F254C"/>
    <w:rsid w:val="000F3F49"/>
    <w:rsid w:val="000F6D29"/>
    <w:rsid w:val="0010020B"/>
    <w:rsid w:val="0010071C"/>
    <w:rsid w:val="00100E98"/>
    <w:rsid w:val="00101A9A"/>
    <w:rsid w:val="00102DAA"/>
    <w:rsid w:val="00103636"/>
    <w:rsid w:val="00105F27"/>
    <w:rsid w:val="00106014"/>
    <w:rsid w:val="00106145"/>
    <w:rsid w:val="00106965"/>
    <w:rsid w:val="00106B4E"/>
    <w:rsid w:val="0011005B"/>
    <w:rsid w:val="001106A2"/>
    <w:rsid w:val="00115C59"/>
    <w:rsid w:val="001237CE"/>
    <w:rsid w:val="00124ACE"/>
    <w:rsid w:val="00134E05"/>
    <w:rsid w:val="0013551A"/>
    <w:rsid w:val="00137159"/>
    <w:rsid w:val="0014074D"/>
    <w:rsid w:val="00142E0F"/>
    <w:rsid w:val="00144764"/>
    <w:rsid w:val="00145D30"/>
    <w:rsid w:val="001466B0"/>
    <w:rsid w:val="0015280A"/>
    <w:rsid w:val="001635DC"/>
    <w:rsid w:val="00170E72"/>
    <w:rsid w:val="00172C4C"/>
    <w:rsid w:val="00173CE9"/>
    <w:rsid w:val="00174361"/>
    <w:rsid w:val="00175447"/>
    <w:rsid w:val="00176440"/>
    <w:rsid w:val="0018070D"/>
    <w:rsid w:val="0018643D"/>
    <w:rsid w:val="001874E6"/>
    <w:rsid w:val="001912C5"/>
    <w:rsid w:val="00192238"/>
    <w:rsid w:val="00192E71"/>
    <w:rsid w:val="001932D0"/>
    <w:rsid w:val="00193A7B"/>
    <w:rsid w:val="001953BF"/>
    <w:rsid w:val="001A0155"/>
    <w:rsid w:val="001A2BB9"/>
    <w:rsid w:val="001A415A"/>
    <w:rsid w:val="001A52EE"/>
    <w:rsid w:val="001A558E"/>
    <w:rsid w:val="001A6404"/>
    <w:rsid w:val="001A7C2C"/>
    <w:rsid w:val="001B287E"/>
    <w:rsid w:val="001B30F1"/>
    <w:rsid w:val="001B6614"/>
    <w:rsid w:val="001B6CA2"/>
    <w:rsid w:val="001B75B0"/>
    <w:rsid w:val="001B7828"/>
    <w:rsid w:val="001B7CC5"/>
    <w:rsid w:val="001C0F0B"/>
    <w:rsid w:val="001C325A"/>
    <w:rsid w:val="001C46BC"/>
    <w:rsid w:val="001C6283"/>
    <w:rsid w:val="001D21EC"/>
    <w:rsid w:val="001D27C5"/>
    <w:rsid w:val="001D43E7"/>
    <w:rsid w:val="001D4705"/>
    <w:rsid w:val="001D4FDF"/>
    <w:rsid w:val="001D563E"/>
    <w:rsid w:val="001D7664"/>
    <w:rsid w:val="001E0120"/>
    <w:rsid w:val="001F4E3A"/>
    <w:rsid w:val="001F6210"/>
    <w:rsid w:val="001F639A"/>
    <w:rsid w:val="00200F6D"/>
    <w:rsid w:val="002021FB"/>
    <w:rsid w:val="00202C73"/>
    <w:rsid w:val="0020484F"/>
    <w:rsid w:val="0020730A"/>
    <w:rsid w:val="0020740E"/>
    <w:rsid w:val="0021026F"/>
    <w:rsid w:val="002132C9"/>
    <w:rsid w:val="002139DC"/>
    <w:rsid w:val="00213DAA"/>
    <w:rsid w:val="00213F9C"/>
    <w:rsid w:val="00214349"/>
    <w:rsid w:val="00214AC1"/>
    <w:rsid w:val="00221672"/>
    <w:rsid w:val="0022218A"/>
    <w:rsid w:val="00222AB0"/>
    <w:rsid w:val="00225C3E"/>
    <w:rsid w:val="0023095C"/>
    <w:rsid w:val="002311CA"/>
    <w:rsid w:val="00235C63"/>
    <w:rsid w:val="00236337"/>
    <w:rsid w:val="00242586"/>
    <w:rsid w:val="00242FAF"/>
    <w:rsid w:val="002440FB"/>
    <w:rsid w:val="00244615"/>
    <w:rsid w:val="00244AEB"/>
    <w:rsid w:val="00244CD7"/>
    <w:rsid w:val="0024752A"/>
    <w:rsid w:val="0025039B"/>
    <w:rsid w:val="00250E56"/>
    <w:rsid w:val="002552ED"/>
    <w:rsid w:val="002569E2"/>
    <w:rsid w:val="00257F6E"/>
    <w:rsid w:val="00260B0B"/>
    <w:rsid w:val="002632F6"/>
    <w:rsid w:val="00270A42"/>
    <w:rsid w:val="002720DF"/>
    <w:rsid w:val="002721C8"/>
    <w:rsid w:val="00273A98"/>
    <w:rsid w:val="0027453D"/>
    <w:rsid w:val="00276431"/>
    <w:rsid w:val="00276E16"/>
    <w:rsid w:val="00277B55"/>
    <w:rsid w:val="00277D47"/>
    <w:rsid w:val="002814B1"/>
    <w:rsid w:val="002835BD"/>
    <w:rsid w:val="00284FEF"/>
    <w:rsid w:val="00285195"/>
    <w:rsid w:val="002907E2"/>
    <w:rsid w:val="00291913"/>
    <w:rsid w:val="002924B4"/>
    <w:rsid w:val="00293EDF"/>
    <w:rsid w:val="002946C7"/>
    <w:rsid w:val="0029490E"/>
    <w:rsid w:val="00296C83"/>
    <w:rsid w:val="0029728C"/>
    <w:rsid w:val="002A02BB"/>
    <w:rsid w:val="002A0D3F"/>
    <w:rsid w:val="002A4998"/>
    <w:rsid w:val="002A4CDA"/>
    <w:rsid w:val="002A5BD7"/>
    <w:rsid w:val="002A6182"/>
    <w:rsid w:val="002A7000"/>
    <w:rsid w:val="002A718A"/>
    <w:rsid w:val="002B0A50"/>
    <w:rsid w:val="002B18D3"/>
    <w:rsid w:val="002B2660"/>
    <w:rsid w:val="002B29EC"/>
    <w:rsid w:val="002B2A69"/>
    <w:rsid w:val="002B3E33"/>
    <w:rsid w:val="002B3F85"/>
    <w:rsid w:val="002C02AF"/>
    <w:rsid w:val="002C02C2"/>
    <w:rsid w:val="002C3183"/>
    <w:rsid w:val="002C3BB8"/>
    <w:rsid w:val="002C4323"/>
    <w:rsid w:val="002C5BAF"/>
    <w:rsid w:val="002C6423"/>
    <w:rsid w:val="002C784A"/>
    <w:rsid w:val="002D0806"/>
    <w:rsid w:val="002D0E3E"/>
    <w:rsid w:val="002D1926"/>
    <w:rsid w:val="002D2C19"/>
    <w:rsid w:val="002D60C1"/>
    <w:rsid w:val="002D6196"/>
    <w:rsid w:val="002E0052"/>
    <w:rsid w:val="002F257A"/>
    <w:rsid w:val="002F5BD0"/>
    <w:rsid w:val="002F77A6"/>
    <w:rsid w:val="002F796F"/>
    <w:rsid w:val="00302290"/>
    <w:rsid w:val="00302CBD"/>
    <w:rsid w:val="00303BB4"/>
    <w:rsid w:val="0030475B"/>
    <w:rsid w:val="00306777"/>
    <w:rsid w:val="00307C05"/>
    <w:rsid w:val="00313D51"/>
    <w:rsid w:val="00313F4B"/>
    <w:rsid w:val="00321380"/>
    <w:rsid w:val="00321A97"/>
    <w:rsid w:val="00322B5B"/>
    <w:rsid w:val="00324381"/>
    <w:rsid w:val="00324D62"/>
    <w:rsid w:val="00324EB4"/>
    <w:rsid w:val="00326CD2"/>
    <w:rsid w:val="00332955"/>
    <w:rsid w:val="00332ADE"/>
    <w:rsid w:val="00334326"/>
    <w:rsid w:val="00335D43"/>
    <w:rsid w:val="00336B7B"/>
    <w:rsid w:val="00337BF3"/>
    <w:rsid w:val="00341295"/>
    <w:rsid w:val="00341A30"/>
    <w:rsid w:val="00341A64"/>
    <w:rsid w:val="00344063"/>
    <w:rsid w:val="00344B9E"/>
    <w:rsid w:val="00345FF0"/>
    <w:rsid w:val="003462B5"/>
    <w:rsid w:val="003467D0"/>
    <w:rsid w:val="00350859"/>
    <w:rsid w:val="00351EB1"/>
    <w:rsid w:val="0035241C"/>
    <w:rsid w:val="0035690B"/>
    <w:rsid w:val="00356CB1"/>
    <w:rsid w:val="00356D5E"/>
    <w:rsid w:val="00357F7F"/>
    <w:rsid w:val="003606E1"/>
    <w:rsid w:val="00366574"/>
    <w:rsid w:val="00366BDB"/>
    <w:rsid w:val="0037042D"/>
    <w:rsid w:val="003731A6"/>
    <w:rsid w:val="00373FE0"/>
    <w:rsid w:val="00377F75"/>
    <w:rsid w:val="0038194D"/>
    <w:rsid w:val="00381F13"/>
    <w:rsid w:val="003820D3"/>
    <w:rsid w:val="0038421A"/>
    <w:rsid w:val="003842E2"/>
    <w:rsid w:val="0038558E"/>
    <w:rsid w:val="00386D4C"/>
    <w:rsid w:val="0039120B"/>
    <w:rsid w:val="003932CE"/>
    <w:rsid w:val="00393952"/>
    <w:rsid w:val="003958C3"/>
    <w:rsid w:val="003A11CA"/>
    <w:rsid w:val="003A4E63"/>
    <w:rsid w:val="003A70DD"/>
    <w:rsid w:val="003B344C"/>
    <w:rsid w:val="003B3D6D"/>
    <w:rsid w:val="003B46D1"/>
    <w:rsid w:val="003B5267"/>
    <w:rsid w:val="003B6617"/>
    <w:rsid w:val="003B66A8"/>
    <w:rsid w:val="003B6EC8"/>
    <w:rsid w:val="003B73F4"/>
    <w:rsid w:val="003C0C96"/>
    <w:rsid w:val="003C2003"/>
    <w:rsid w:val="003C5F22"/>
    <w:rsid w:val="003C6FBB"/>
    <w:rsid w:val="003D0EFA"/>
    <w:rsid w:val="003D3886"/>
    <w:rsid w:val="003D7175"/>
    <w:rsid w:val="003E10DE"/>
    <w:rsid w:val="003E2F5C"/>
    <w:rsid w:val="003E4111"/>
    <w:rsid w:val="003F2337"/>
    <w:rsid w:val="003F2BEB"/>
    <w:rsid w:val="003F5E4F"/>
    <w:rsid w:val="003F5FD4"/>
    <w:rsid w:val="003F618C"/>
    <w:rsid w:val="00400B00"/>
    <w:rsid w:val="004030F5"/>
    <w:rsid w:val="00405C61"/>
    <w:rsid w:val="004061FA"/>
    <w:rsid w:val="00414BBB"/>
    <w:rsid w:val="00417699"/>
    <w:rsid w:val="00417B70"/>
    <w:rsid w:val="004225C7"/>
    <w:rsid w:val="00432D21"/>
    <w:rsid w:val="00434185"/>
    <w:rsid w:val="00441BFB"/>
    <w:rsid w:val="00441C85"/>
    <w:rsid w:val="00442334"/>
    <w:rsid w:val="004444B3"/>
    <w:rsid w:val="004461EA"/>
    <w:rsid w:val="00446BF5"/>
    <w:rsid w:val="00447CCB"/>
    <w:rsid w:val="00450372"/>
    <w:rsid w:val="00452CCF"/>
    <w:rsid w:val="0045362D"/>
    <w:rsid w:val="00454026"/>
    <w:rsid w:val="004616E9"/>
    <w:rsid w:val="0046344D"/>
    <w:rsid w:val="00465BF6"/>
    <w:rsid w:val="0046604D"/>
    <w:rsid w:val="00471C66"/>
    <w:rsid w:val="004722AC"/>
    <w:rsid w:val="00473235"/>
    <w:rsid w:val="00476425"/>
    <w:rsid w:val="004817AA"/>
    <w:rsid w:val="00483118"/>
    <w:rsid w:val="00486F7E"/>
    <w:rsid w:val="004872DD"/>
    <w:rsid w:val="00490028"/>
    <w:rsid w:val="004906B3"/>
    <w:rsid w:val="00490EF5"/>
    <w:rsid w:val="00491B62"/>
    <w:rsid w:val="00496844"/>
    <w:rsid w:val="00497ABF"/>
    <w:rsid w:val="004A1772"/>
    <w:rsid w:val="004A2390"/>
    <w:rsid w:val="004A48D4"/>
    <w:rsid w:val="004A50E5"/>
    <w:rsid w:val="004A571F"/>
    <w:rsid w:val="004B3936"/>
    <w:rsid w:val="004B3E06"/>
    <w:rsid w:val="004C212A"/>
    <w:rsid w:val="004D4931"/>
    <w:rsid w:val="004D56FE"/>
    <w:rsid w:val="004D5D46"/>
    <w:rsid w:val="004D61D1"/>
    <w:rsid w:val="004E06F4"/>
    <w:rsid w:val="004E290D"/>
    <w:rsid w:val="004E34BA"/>
    <w:rsid w:val="004E4A6E"/>
    <w:rsid w:val="004F0A6C"/>
    <w:rsid w:val="004F1A07"/>
    <w:rsid w:val="004F2349"/>
    <w:rsid w:val="004F43B1"/>
    <w:rsid w:val="004F55F8"/>
    <w:rsid w:val="004F59A2"/>
    <w:rsid w:val="004F6E40"/>
    <w:rsid w:val="00504E77"/>
    <w:rsid w:val="005067B3"/>
    <w:rsid w:val="00507E3C"/>
    <w:rsid w:val="0051438B"/>
    <w:rsid w:val="00514C12"/>
    <w:rsid w:val="00515BA8"/>
    <w:rsid w:val="00516C9B"/>
    <w:rsid w:val="00525059"/>
    <w:rsid w:val="00526407"/>
    <w:rsid w:val="005272A9"/>
    <w:rsid w:val="00531340"/>
    <w:rsid w:val="00531787"/>
    <w:rsid w:val="005331D2"/>
    <w:rsid w:val="0053465D"/>
    <w:rsid w:val="005359BE"/>
    <w:rsid w:val="00536A76"/>
    <w:rsid w:val="00537559"/>
    <w:rsid w:val="00543BF1"/>
    <w:rsid w:val="00552E52"/>
    <w:rsid w:val="005550F2"/>
    <w:rsid w:val="0055589E"/>
    <w:rsid w:val="005677E0"/>
    <w:rsid w:val="00574163"/>
    <w:rsid w:val="005743A5"/>
    <w:rsid w:val="00574E32"/>
    <w:rsid w:val="00574EFD"/>
    <w:rsid w:val="00577A28"/>
    <w:rsid w:val="00581A30"/>
    <w:rsid w:val="00581A48"/>
    <w:rsid w:val="0058268B"/>
    <w:rsid w:val="0058395E"/>
    <w:rsid w:val="00583DF1"/>
    <w:rsid w:val="00584C40"/>
    <w:rsid w:val="005863DF"/>
    <w:rsid w:val="00591EA6"/>
    <w:rsid w:val="005930FE"/>
    <w:rsid w:val="00593F05"/>
    <w:rsid w:val="005968D0"/>
    <w:rsid w:val="005A0D45"/>
    <w:rsid w:val="005A199C"/>
    <w:rsid w:val="005A2DD8"/>
    <w:rsid w:val="005B1125"/>
    <w:rsid w:val="005B1B27"/>
    <w:rsid w:val="005B1D6A"/>
    <w:rsid w:val="005B1EF1"/>
    <w:rsid w:val="005B34C3"/>
    <w:rsid w:val="005B3BB2"/>
    <w:rsid w:val="005B52BD"/>
    <w:rsid w:val="005B7190"/>
    <w:rsid w:val="005B7828"/>
    <w:rsid w:val="005C2DD3"/>
    <w:rsid w:val="005C58DA"/>
    <w:rsid w:val="005C5C5A"/>
    <w:rsid w:val="005D1866"/>
    <w:rsid w:val="005D3C6B"/>
    <w:rsid w:val="005D6319"/>
    <w:rsid w:val="005E3AA3"/>
    <w:rsid w:val="005E4AC6"/>
    <w:rsid w:val="005E5752"/>
    <w:rsid w:val="005E67F5"/>
    <w:rsid w:val="005E69DE"/>
    <w:rsid w:val="005F0956"/>
    <w:rsid w:val="005F0F26"/>
    <w:rsid w:val="005F1325"/>
    <w:rsid w:val="00600A0E"/>
    <w:rsid w:val="006015B1"/>
    <w:rsid w:val="006020E5"/>
    <w:rsid w:val="006036BD"/>
    <w:rsid w:val="00603DB7"/>
    <w:rsid w:val="00604DA1"/>
    <w:rsid w:val="00604DFF"/>
    <w:rsid w:val="006053BA"/>
    <w:rsid w:val="006056C2"/>
    <w:rsid w:val="0060710F"/>
    <w:rsid w:val="006104CE"/>
    <w:rsid w:val="0061079C"/>
    <w:rsid w:val="00614B9D"/>
    <w:rsid w:val="00614CEB"/>
    <w:rsid w:val="00617869"/>
    <w:rsid w:val="0061789A"/>
    <w:rsid w:val="00617DFE"/>
    <w:rsid w:val="006237E7"/>
    <w:rsid w:val="00627C7B"/>
    <w:rsid w:val="00631898"/>
    <w:rsid w:val="00631A2A"/>
    <w:rsid w:val="00632306"/>
    <w:rsid w:val="00634840"/>
    <w:rsid w:val="006354B8"/>
    <w:rsid w:val="00637C8A"/>
    <w:rsid w:val="006416DD"/>
    <w:rsid w:val="00642C2B"/>
    <w:rsid w:val="006457FD"/>
    <w:rsid w:val="00647D6F"/>
    <w:rsid w:val="00650373"/>
    <w:rsid w:val="006503D6"/>
    <w:rsid w:val="0065390B"/>
    <w:rsid w:val="00662447"/>
    <w:rsid w:val="00666E9F"/>
    <w:rsid w:val="00667B4F"/>
    <w:rsid w:val="00671AC1"/>
    <w:rsid w:val="00674AA9"/>
    <w:rsid w:val="00674FB7"/>
    <w:rsid w:val="00675F22"/>
    <w:rsid w:val="00676A1F"/>
    <w:rsid w:val="00677F18"/>
    <w:rsid w:val="00680001"/>
    <w:rsid w:val="0068100D"/>
    <w:rsid w:val="00683935"/>
    <w:rsid w:val="0068400C"/>
    <w:rsid w:val="006900C9"/>
    <w:rsid w:val="0069033D"/>
    <w:rsid w:val="00690D11"/>
    <w:rsid w:val="006919D9"/>
    <w:rsid w:val="00691E28"/>
    <w:rsid w:val="00692137"/>
    <w:rsid w:val="00694DF6"/>
    <w:rsid w:val="00695D4B"/>
    <w:rsid w:val="006A0999"/>
    <w:rsid w:val="006B004B"/>
    <w:rsid w:val="006B0097"/>
    <w:rsid w:val="006B05AE"/>
    <w:rsid w:val="006B0F6E"/>
    <w:rsid w:val="006B212F"/>
    <w:rsid w:val="006B2BE7"/>
    <w:rsid w:val="006B4CE5"/>
    <w:rsid w:val="006B5658"/>
    <w:rsid w:val="006C0342"/>
    <w:rsid w:val="006C31CE"/>
    <w:rsid w:val="006C3D2B"/>
    <w:rsid w:val="006C4E45"/>
    <w:rsid w:val="006C5088"/>
    <w:rsid w:val="006C6C3B"/>
    <w:rsid w:val="006D0176"/>
    <w:rsid w:val="006D4BC8"/>
    <w:rsid w:val="006E3789"/>
    <w:rsid w:val="006E4563"/>
    <w:rsid w:val="006E479A"/>
    <w:rsid w:val="006E5658"/>
    <w:rsid w:val="006E6811"/>
    <w:rsid w:val="006E6B19"/>
    <w:rsid w:val="006E6BB6"/>
    <w:rsid w:val="006E7CCA"/>
    <w:rsid w:val="006F0FC7"/>
    <w:rsid w:val="006F1DD2"/>
    <w:rsid w:val="006F2EF5"/>
    <w:rsid w:val="006F30B2"/>
    <w:rsid w:val="006F4E78"/>
    <w:rsid w:val="00700798"/>
    <w:rsid w:val="00700B0D"/>
    <w:rsid w:val="00700EBA"/>
    <w:rsid w:val="0070357A"/>
    <w:rsid w:val="00705CFF"/>
    <w:rsid w:val="007061C7"/>
    <w:rsid w:val="0071018B"/>
    <w:rsid w:val="00712A3B"/>
    <w:rsid w:val="00712FBC"/>
    <w:rsid w:val="0071479E"/>
    <w:rsid w:val="00724BB7"/>
    <w:rsid w:val="00726C2F"/>
    <w:rsid w:val="0073135C"/>
    <w:rsid w:val="007317DF"/>
    <w:rsid w:val="007319DF"/>
    <w:rsid w:val="007320CB"/>
    <w:rsid w:val="0073267D"/>
    <w:rsid w:val="00733033"/>
    <w:rsid w:val="00733F13"/>
    <w:rsid w:val="00734EFE"/>
    <w:rsid w:val="007369E1"/>
    <w:rsid w:val="007417A8"/>
    <w:rsid w:val="00742578"/>
    <w:rsid w:val="0074316B"/>
    <w:rsid w:val="0075228C"/>
    <w:rsid w:val="00753EE4"/>
    <w:rsid w:val="007549C6"/>
    <w:rsid w:val="00754B1E"/>
    <w:rsid w:val="00757D69"/>
    <w:rsid w:val="00760CC7"/>
    <w:rsid w:val="00762438"/>
    <w:rsid w:val="007628F1"/>
    <w:rsid w:val="0076684F"/>
    <w:rsid w:val="0076695A"/>
    <w:rsid w:val="007669F8"/>
    <w:rsid w:val="00766B39"/>
    <w:rsid w:val="00767FE6"/>
    <w:rsid w:val="007710E7"/>
    <w:rsid w:val="00771BE1"/>
    <w:rsid w:val="007724DA"/>
    <w:rsid w:val="00774B44"/>
    <w:rsid w:val="00774B6E"/>
    <w:rsid w:val="00777971"/>
    <w:rsid w:val="00784287"/>
    <w:rsid w:val="007848B4"/>
    <w:rsid w:val="00786A43"/>
    <w:rsid w:val="00787B36"/>
    <w:rsid w:val="007927E5"/>
    <w:rsid w:val="007933E5"/>
    <w:rsid w:val="00793D04"/>
    <w:rsid w:val="00795EF1"/>
    <w:rsid w:val="00797AF7"/>
    <w:rsid w:val="007A270D"/>
    <w:rsid w:val="007A2CF2"/>
    <w:rsid w:val="007A2D2B"/>
    <w:rsid w:val="007A4D7F"/>
    <w:rsid w:val="007A4FE1"/>
    <w:rsid w:val="007A5B90"/>
    <w:rsid w:val="007A78C2"/>
    <w:rsid w:val="007B3616"/>
    <w:rsid w:val="007B5CE2"/>
    <w:rsid w:val="007B67C4"/>
    <w:rsid w:val="007C0F24"/>
    <w:rsid w:val="007C1B69"/>
    <w:rsid w:val="007C4170"/>
    <w:rsid w:val="007C4433"/>
    <w:rsid w:val="007C57C8"/>
    <w:rsid w:val="007D08C1"/>
    <w:rsid w:val="007D1ABC"/>
    <w:rsid w:val="007D404B"/>
    <w:rsid w:val="007D4ABB"/>
    <w:rsid w:val="007D4F44"/>
    <w:rsid w:val="007D6C89"/>
    <w:rsid w:val="007D7BC2"/>
    <w:rsid w:val="007E0B3A"/>
    <w:rsid w:val="007E5639"/>
    <w:rsid w:val="007E64CA"/>
    <w:rsid w:val="007E6FD8"/>
    <w:rsid w:val="007F0B14"/>
    <w:rsid w:val="007F1566"/>
    <w:rsid w:val="007F2B32"/>
    <w:rsid w:val="007F57CC"/>
    <w:rsid w:val="007F57D9"/>
    <w:rsid w:val="007F58D4"/>
    <w:rsid w:val="007F7265"/>
    <w:rsid w:val="0080264F"/>
    <w:rsid w:val="008049B7"/>
    <w:rsid w:val="008057DE"/>
    <w:rsid w:val="00806624"/>
    <w:rsid w:val="0080684A"/>
    <w:rsid w:val="00806B8A"/>
    <w:rsid w:val="00811ECB"/>
    <w:rsid w:val="00814618"/>
    <w:rsid w:val="0081645D"/>
    <w:rsid w:val="0081748A"/>
    <w:rsid w:val="00817C79"/>
    <w:rsid w:val="00824010"/>
    <w:rsid w:val="00824F3C"/>
    <w:rsid w:val="0083062B"/>
    <w:rsid w:val="00831873"/>
    <w:rsid w:val="00833818"/>
    <w:rsid w:val="008359A6"/>
    <w:rsid w:val="00843529"/>
    <w:rsid w:val="00843C1F"/>
    <w:rsid w:val="00845969"/>
    <w:rsid w:val="00850CD9"/>
    <w:rsid w:val="00850F99"/>
    <w:rsid w:val="00855DAF"/>
    <w:rsid w:val="00862244"/>
    <w:rsid w:val="00862A97"/>
    <w:rsid w:val="008738A9"/>
    <w:rsid w:val="00875B73"/>
    <w:rsid w:val="00876AF5"/>
    <w:rsid w:val="0087703B"/>
    <w:rsid w:val="008770AF"/>
    <w:rsid w:val="008775F1"/>
    <w:rsid w:val="00881373"/>
    <w:rsid w:val="00881A5D"/>
    <w:rsid w:val="00882AC9"/>
    <w:rsid w:val="008834A8"/>
    <w:rsid w:val="00884FC7"/>
    <w:rsid w:val="0088583D"/>
    <w:rsid w:val="00885B65"/>
    <w:rsid w:val="00887D94"/>
    <w:rsid w:val="00890927"/>
    <w:rsid w:val="00892955"/>
    <w:rsid w:val="00893565"/>
    <w:rsid w:val="00894CA5"/>
    <w:rsid w:val="00894ECC"/>
    <w:rsid w:val="008953BE"/>
    <w:rsid w:val="008A1071"/>
    <w:rsid w:val="008A13A0"/>
    <w:rsid w:val="008A3ABA"/>
    <w:rsid w:val="008A4E46"/>
    <w:rsid w:val="008A4F05"/>
    <w:rsid w:val="008A5620"/>
    <w:rsid w:val="008A6D70"/>
    <w:rsid w:val="008B06B9"/>
    <w:rsid w:val="008B134E"/>
    <w:rsid w:val="008B1A6B"/>
    <w:rsid w:val="008B1D28"/>
    <w:rsid w:val="008B575C"/>
    <w:rsid w:val="008C0161"/>
    <w:rsid w:val="008C1137"/>
    <w:rsid w:val="008C1EA2"/>
    <w:rsid w:val="008C3D5B"/>
    <w:rsid w:val="008C4852"/>
    <w:rsid w:val="008C7B62"/>
    <w:rsid w:val="008C7C5E"/>
    <w:rsid w:val="008C7D06"/>
    <w:rsid w:val="008C7E53"/>
    <w:rsid w:val="008C7E89"/>
    <w:rsid w:val="008C7FF6"/>
    <w:rsid w:val="008D2BFD"/>
    <w:rsid w:val="008D2D2E"/>
    <w:rsid w:val="008D38A9"/>
    <w:rsid w:val="008E0087"/>
    <w:rsid w:val="008E3BF0"/>
    <w:rsid w:val="008E4297"/>
    <w:rsid w:val="008E4737"/>
    <w:rsid w:val="008E5667"/>
    <w:rsid w:val="008F2986"/>
    <w:rsid w:val="008F5014"/>
    <w:rsid w:val="008F67BB"/>
    <w:rsid w:val="008F6AAF"/>
    <w:rsid w:val="008F70BC"/>
    <w:rsid w:val="008F7705"/>
    <w:rsid w:val="00900B40"/>
    <w:rsid w:val="00902782"/>
    <w:rsid w:val="00903728"/>
    <w:rsid w:val="0090389F"/>
    <w:rsid w:val="00906C19"/>
    <w:rsid w:val="009118EE"/>
    <w:rsid w:val="0091368F"/>
    <w:rsid w:val="00913C9E"/>
    <w:rsid w:val="00916CC3"/>
    <w:rsid w:val="009171CF"/>
    <w:rsid w:val="00917AB3"/>
    <w:rsid w:val="00921AC3"/>
    <w:rsid w:val="009225A8"/>
    <w:rsid w:val="009311C2"/>
    <w:rsid w:val="0093172E"/>
    <w:rsid w:val="00931AC6"/>
    <w:rsid w:val="00932214"/>
    <w:rsid w:val="00933CC1"/>
    <w:rsid w:val="00934FAD"/>
    <w:rsid w:val="00935DB0"/>
    <w:rsid w:val="00940B3C"/>
    <w:rsid w:val="00941B28"/>
    <w:rsid w:val="00942998"/>
    <w:rsid w:val="00942BA3"/>
    <w:rsid w:val="00945A2E"/>
    <w:rsid w:val="00952B63"/>
    <w:rsid w:val="00953060"/>
    <w:rsid w:val="0096043A"/>
    <w:rsid w:val="00960AC0"/>
    <w:rsid w:val="00964997"/>
    <w:rsid w:val="009670DA"/>
    <w:rsid w:val="00973518"/>
    <w:rsid w:val="00975458"/>
    <w:rsid w:val="00976D84"/>
    <w:rsid w:val="009774E8"/>
    <w:rsid w:val="009774FB"/>
    <w:rsid w:val="00977905"/>
    <w:rsid w:val="009807A4"/>
    <w:rsid w:val="009809C8"/>
    <w:rsid w:val="00985A39"/>
    <w:rsid w:val="0098751A"/>
    <w:rsid w:val="00987884"/>
    <w:rsid w:val="009902BA"/>
    <w:rsid w:val="009926D6"/>
    <w:rsid w:val="00992FFE"/>
    <w:rsid w:val="00993A95"/>
    <w:rsid w:val="00994224"/>
    <w:rsid w:val="00995224"/>
    <w:rsid w:val="009A1124"/>
    <w:rsid w:val="009A1D15"/>
    <w:rsid w:val="009A225B"/>
    <w:rsid w:val="009A227F"/>
    <w:rsid w:val="009A3E1F"/>
    <w:rsid w:val="009A5E23"/>
    <w:rsid w:val="009A60BA"/>
    <w:rsid w:val="009B65F1"/>
    <w:rsid w:val="009C0419"/>
    <w:rsid w:val="009C09CE"/>
    <w:rsid w:val="009C14CC"/>
    <w:rsid w:val="009C1BA9"/>
    <w:rsid w:val="009C263E"/>
    <w:rsid w:val="009C3417"/>
    <w:rsid w:val="009C53BE"/>
    <w:rsid w:val="009C5637"/>
    <w:rsid w:val="009C6C05"/>
    <w:rsid w:val="009D15B5"/>
    <w:rsid w:val="009D1C49"/>
    <w:rsid w:val="009D248F"/>
    <w:rsid w:val="009D4365"/>
    <w:rsid w:val="009D77F6"/>
    <w:rsid w:val="009E0DAD"/>
    <w:rsid w:val="009E31AF"/>
    <w:rsid w:val="009E32F6"/>
    <w:rsid w:val="009E33C0"/>
    <w:rsid w:val="009E3BF6"/>
    <w:rsid w:val="009E421E"/>
    <w:rsid w:val="009F223F"/>
    <w:rsid w:val="009F3AD8"/>
    <w:rsid w:val="009F4DF0"/>
    <w:rsid w:val="009F7AE6"/>
    <w:rsid w:val="009F7EC1"/>
    <w:rsid w:val="00A003DE"/>
    <w:rsid w:val="00A01449"/>
    <w:rsid w:val="00A03F7C"/>
    <w:rsid w:val="00A065AA"/>
    <w:rsid w:val="00A0699F"/>
    <w:rsid w:val="00A0762D"/>
    <w:rsid w:val="00A10292"/>
    <w:rsid w:val="00A118C1"/>
    <w:rsid w:val="00A13D5B"/>
    <w:rsid w:val="00A13E13"/>
    <w:rsid w:val="00A145D3"/>
    <w:rsid w:val="00A16CBC"/>
    <w:rsid w:val="00A21607"/>
    <w:rsid w:val="00A26645"/>
    <w:rsid w:val="00A31072"/>
    <w:rsid w:val="00A32057"/>
    <w:rsid w:val="00A3355E"/>
    <w:rsid w:val="00A33A4C"/>
    <w:rsid w:val="00A34A80"/>
    <w:rsid w:val="00A37C0B"/>
    <w:rsid w:val="00A37E49"/>
    <w:rsid w:val="00A4235C"/>
    <w:rsid w:val="00A4394B"/>
    <w:rsid w:val="00A47070"/>
    <w:rsid w:val="00A504F7"/>
    <w:rsid w:val="00A574DC"/>
    <w:rsid w:val="00A6270B"/>
    <w:rsid w:val="00A648F6"/>
    <w:rsid w:val="00A70FF3"/>
    <w:rsid w:val="00A71BC3"/>
    <w:rsid w:val="00A72C96"/>
    <w:rsid w:val="00A7323D"/>
    <w:rsid w:val="00A76B13"/>
    <w:rsid w:val="00A80B55"/>
    <w:rsid w:val="00A813A1"/>
    <w:rsid w:val="00A819C9"/>
    <w:rsid w:val="00A82310"/>
    <w:rsid w:val="00A83474"/>
    <w:rsid w:val="00A90C97"/>
    <w:rsid w:val="00A910EE"/>
    <w:rsid w:val="00A9191A"/>
    <w:rsid w:val="00A936B1"/>
    <w:rsid w:val="00A953E6"/>
    <w:rsid w:val="00A959BB"/>
    <w:rsid w:val="00A95BAC"/>
    <w:rsid w:val="00A95BC5"/>
    <w:rsid w:val="00A960C6"/>
    <w:rsid w:val="00A97413"/>
    <w:rsid w:val="00A979F4"/>
    <w:rsid w:val="00AA0153"/>
    <w:rsid w:val="00AA2E8E"/>
    <w:rsid w:val="00AA3577"/>
    <w:rsid w:val="00AA615F"/>
    <w:rsid w:val="00AB2634"/>
    <w:rsid w:val="00AB2C0A"/>
    <w:rsid w:val="00AB45AB"/>
    <w:rsid w:val="00AB4C10"/>
    <w:rsid w:val="00AB5038"/>
    <w:rsid w:val="00AB683D"/>
    <w:rsid w:val="00AC012C"/>
    <w:rsid w:val="00AC4C9D"/>
    <w:rsid w:val="00AC53BB"/>
    <w:rsid w:val="00AC5D60"/>
    <w:rsid w:val="00AC6028"/>
    <w:rsid w:val="00AC685A"/>
    <w:rsid w:val="00AC7D3B"/>
    <w:rsid w:val="00AD0A5E"/>
    <w:rsid w:val="00AD0E81"/>
    <w:rsid w:val="00AD152F"/>
    <w:rsid w:val="00AD1608"/>
    <w:rsid w:val="00AD2C8E"/>
    <w:rsid w:val="00AD49D3"/>
    <w:rsid w:val="00AE02D0"/>
    <w:rsid w:val="00AE0EAE"/>
    <w:rsid w:val="00AE1C3E"/>
    <w:rsid w:val="00AE2205"/>
    <w:rsid w:val="00AE2B29"/>
    <w:rsid w:val="00AE3052"/>
    <w:rsid w:val="00AE5CEA"/>
    <w:rsid w:val="00AF00EC"/>
    <w:rsid w:val="00AF040B"/>
    <w:rsid w:val="00AF1DD2"/>
    <w:rsid w:val="00AF3A1C"/>
    <w:rsid w:val="00AF473F"/>
    <w:rsid w:val="00AF4EEE"/>
    <w:rsid w:val="00AF7D7A"/>
    <w:rsid w:val="00B01807"/>
    <w:rsid w:val="00B04A2D"/>
    <w:rsid w:val="00B05957"/>
    <w:rsid w:val="00B05CAA"/>
    <w:rsid w:val="00B06ABE"/>
    <w:rsid w:val="00B07563"/>
    <w:rsid w:val="00B07C39"/>
    <w:rsid w:val="00B07C98"/>
    <w:rsid w:val="00B12D36"/>
    <w:rsid w:val="00B137FF"/>
    <w:rsid w:val="00B13D33"/>
    <w:rsid w:val="00B14164"/>
    <w:rsid w:val="00B1553B"/>
    <w:rsid w:val="00B23C32"/>
    <w:rsid w:val="00B2535B"/>
    <w:rsid w:val="00B258DB"/>
    <w:rsid w:val="00B321F3"/>
    <w:rsid w:val="00B349C8"/>
    <w:rsid w:val="00B3717E"/>
    <w:rsid w:val="00B37B6C"/>
    <w:rsid w:val="00B404F6"/>
    <w:rsid w:val="00B408DF"/>
    <w:rsid w:val="00B40C91"/>
    <w:rsid w:val="00B416AA"/>
    <w:rsid w:val="00B43C01"/>
    <w:rsid w:val="00B45A22"/>
    <w:rsid w:val="00B47469"/>
    <w:rsid w:val="00B47E6C"/>
    <w:rsid w:val="00B50972"/>
    <w:rsid w:val="00B50B8B"/>
    <w:rsid w:val="00B50FAB"/>
    <w:rsid w:val="00B52324"/>
    <w:rsid w:val="00B5307F"/>
    <w:rsid w:val="00B57B9F"/>
    <w:rsid w:val="00B60099"/>
    <w:rsid w:val="00B60CA2"/>
    <w:rsid w:val="00B60CA5"/>
    <w:rsid w:val="00B621B6"/>
    <w:rsid w:val="00B629FC"/>
    <w:rsid w:val="00B6522C"/>
    <w:rsid w:val="00B66C26"/>
    <w:rsid w:val="00B678F5"/>
    <w:rsid w:val="00B70DC1"/>
    <w:rsid w:val="00B76CA8"/>
    <w:rsid w:val="00B80B60"/>
    <w:rsid w:val="00B80E49"/>
    <w:rsid w:val="00B811A1"/>
    <w:rsid w:val="00B83874"/>
    <w:rsid w:val="00B83D85"/>
    <w:rsid w:val="00B873BC"/>
    <w:rsid w:val="00B90916"/>
    <w:rsid w:val="00B90B72"/>
    <w:rsid w:val="00B91760"/>
    <w:rsid w:val="00B93938"/>
    <w:rsid w:val="00B94CA9"/>
    <w:rsid w:val="00B958CD"/>
    <w:rsid w:val="00B972DB"/>
    <w:rsid w:val="00B973C9"/>
    <w:rsid w:val="00B97E7C"/>
    <w:rsid w:val="00BA372F"/>
    <w:rsid w:val="00BA3AF7"/>
    <w:rsid w:val="00BA4CC3"/>
    <w:rsid w:val="00BA5CCB"/>
    <w:rsid w:val="00BA6E51"/>
    <w:rsid w:val="00BB05F8"/>
    <w:rsid w:val="00BB2CC6"/>
    <w:rsid w:val="00BB2FB4"/>
    <w:rsid w:val="00BB31B4"/>
    <w:rsid w:val="00BB6982"/>
    <w:rsid w:val="00BC04C2"/>
    <w:rsid w:val="00BC1BF7"/>
    <w:rsid w:val="00BC7B9F"/>
    <w:rsid w:val="00BD169A"/>
    <w:rsid w:val="00BD2B31"/>
    <w:rsid w:val="00BD3F0D"/>
    <w:rsid w:val="00BD66D1"/>
    <w:rsid w:val="00BD7529"/>
    <w:rsid w:val="00BE1491"/>
    <w:rsid w:val="00BE1880"/>
    <w:rsid w:val="00BE4237"/>
    <w:rsid w:val="00BE7E5D"/>
    <w:rsid w:val="00BF0EF3"/>
    <w:rsid w:val="00BF2F3A"/>
    <w:rsid w:val="00BF3712"/>
    <w:rsid w:val="00BF595D"/>
    <w:rsid w:val="00C002A7"/>
    <w:rsid w:val="00C01AA8"/>
    <w:rsid w:val="00C02B84"/>
    <w:rsid w:val="00C03E99"/>
    <w:rsid w:val="00C04BEF"/>
    <w:rsid w:val="00C06618"/>
    <w:rsid w:val="00C06F96"/>
    <w:rsid w:val="00C07238"/>
    <w:rsid w:val="00C07382"/>
    <w:rsid w:val="00C07B98"/>
    <w:rsid w:val="00C11627"/>
    <w:rsid w:val="00C129CF"/>
    <w:rsid w:val="00C15E7C"/>
    <w:rsid w:val="00C166AD"/>
    <w:rsid w:val="00C20650"/>
    <w:rsid w:val="00C21E35"/>
    <w:rsid w:val="00C222BC"/>
    <w:rsid w:val="00C22687"/>
    <w:rsid w:val="00C231C0"/>
    <w:rsid w:val="00C23C60"/>
    <w:rsid w:val="00C26BA8"/>
    <w:rsid w:val="00C302C6"/>
    <w:rsid w:val="00C30A84"/>
    <w:rsid w:val="00C30DF9"/>
    <w:rsid w:val="00C32F74"/>
    <w:rsid w:val="00C3476D"/>
    <w:rsid w:val="00C3510A"/>
    <w:rsid w:val="00C40D98"/>
    <w:rsid w:val="00C461A3"/>
    <w:rsid w:val="00C47078"/>
    <w:rsid w:val="00C52DAC"/>
    <w:rsid w:val="00C53728"/>
    <w:rsid w:val="00C552C5"/>
    <w:rsid w:val="00C563A7"/>
    <w:rsid w:val="00C577F0"/>
    <w:rsid w:val="00C6057F"/>
    <w:rsid w:val="00C60D97"/>
    <w:rsid w:val="00C646A7"/>
    <w:rsid w:val="00C65318"/>
    <w:rsid w:val="00C7068B"/>
    <w:rsid w:val="00C73EE4"/>
    <w:rsid w:val="00C7475E"/>
    <w:rsid w:val="00C77E8D"/>
    <w:rsid w:val="00C8581F"/>
    <w:rsid w:val="00C87FE2"/>
    <w:rsid w:val="00C9418F"/>
    <w:rsid w:val="00C94310"/>
    <w:rsid w:val="00C95FDF"/>
    <w:rsid w:val="00C968D1"/>
    <w:rsid w:val="00C96EEE"/>
    <w:rsid w:val="00CA072E"/>
    <w:rsid w:val="00CA123B"/>
    <w:rsid w:val="00CA169B"/>
    <w:rsid w:val="00CA3344"/>
    <w:rsid w:val="00CC26B1"/>
    <w:rsid w:val="00CC3969"/>
    <w:rsid w:val="00CC3EAC"/>
    <w:rsid w:val="00CC4987"/>
    <w:rsid w:val="00CC639E"/>
    <w:rsid w:val="00CD041E"/>
    <w:rsid w:val="00CD0E96"/>
    <w:rsid w:val="00CD0FF6"/>
    <w:rsid w:val="00CD1FB4"/>
    <w:rsid w:val="00CD269F"/>
    <w:rsid w:val="00CD5A35"/>
    <w:rsid w:val="00CE1E02"/>
    <w:rsid w:val="00CE21FD"/>
    <w:rsid w:val="00CE4CC4"/>
    <w:rsid w:val="00CE682A"/>
    <w:rsid w:val="00CE6FA4"/>
    <w:rsid w:val="00CF025D"/>
    <w:rsid w:val="00CF59C1"/>
    <w:rsid w:val="00CF5EB9"/>
    <w:rsid w:val="00CF6B9B"/>
    <w:rsid w:val="00CF7972"/>
    <w:rsid w:val="00D02330"/>
    <w:rsid w:val="00D027B9"/>
    <w:rsid w:val="00D02B16"/>
    <w:rsid w:val="00D0430A"/>
    <w:rsid w:val="00D07714"/>
    <w:rsid w:val="00D11695"/>
    <w:rsid w:val="00D11853"/>
    <w:rsid w:val="00D13096"/>
    <w:rsid w:val="00D157D1"/>
    <w:rsid w:val="00D16BB0"/>
    <w:rsid w:val="00D16EA3"/>
    <w:rsid w:val="00D21F75"/>
    <w:rsid w:val="00D244CF"/>
    <w:rsid w:val="00D31C80"/>
    <w:rsid w:val="00D31F2C"/>
    <w:rsid w:val="00D34FFA"/>
    <w:rsid w:val="00D35E4B"/>
    <w:rsid w:val="00D37B7E"/>
    <w:rsid w:val="00D4265B"/>
    <w:rsid w:val="00D4340E"/>
    <w:rsid w:val="00D45343"/>
    <w:rsid w:val="00D45830"/>
    <w:rsid w:val="00D45F37"/>
    <w:rsid w:val="00D46150"/>
    <w:rsid w:val="00D508B6"/>
    <w:rsid w:val="00D511BE"/>
    <w:rsid w:val="00D51E0E"/>
    <w:rsid w:val="00D57093"/>
    <w:rsid w:val="00D671F1"/>
    <w:rsid w:val="00D71769"/>
    <w:rsid w:val="00D72E23"/>
    <w:rsid w:val="00D73360"/>
    <w:rsid w:val="00D76E83"/>
    <w:rsid w:val="00D8094F"/>
    <w:rsid w:val="00D8540F"/>
    <w:rsid w:val="00D85581"/>
    <w:rsid w:val="00D87484"/>
    <w:rsid w:val="00D93BA9"/>
    <w:rsid w:val="00D96363"/>
    <w:rsid w:val="00D973A9"/>
    <w:rsid w:val="00D978EE"/>
    <w:rsid w:val="00DA1D73"/>
    <w:rsid w:val="00DA2767"/>
    <w:rsid w:val="00DA36AA"/>
    <w:rsid w:val="00DA4EC0"/>
    <w:rsid w:val="00DA58B7"/>
    <w:rsid w:val="00DA62F8"/>
    <w:rsid w:val="00DA6E3D"/>
    <w:rsid w:val="00DB253D"/>
    <w:rsid w:val="00DB26DC"/>
    <w:rsid w:val="00DB624D"/>
    <w:rsid w:val="00DB67B5"/>
    <w:rsid w:val="00DB68A9"/>
    <w:rsid w:val="00DB7578"/>
    <w:rsid w:val="00DC00BF"/>
    <w:rsid w:val="00DC14D7"/>
    <w:rsid w:val="00DC56F9"/>
    <w:rsid w:val="00DC750F"/>
    <w:rsid w:val="00DD0093"/>
    <w:rsid w:val="00DD0DED"/>
    <w:rsid w:val="00DD234E"/>
    <w:rsid w:val="00DD2D09"/>
    <w:rsid w:val="00DD5BF3"/>
    <w:rsid w:val="00DE0FC9"/>
    <w:rsid w:val="00DE1FC9"/>
    <w:rsid w:val="00DE4483"/>
    <w:rsid w:val="00DE4589"/>
    <w:rsid w:val="00DE4E99"/>
    <w:rsid w:val="00DE57AC"/>
    <w:rsid w:val="00DE7210"/>
    <w:rsid w:val="00DF0698"/>
    <w:rsid w:val="00DF2EAA"/>
    <w:rsid w:val="00DF3209"/>
    <w:rsid w:val="00DF3C20"/>
    <w:rsid w:val="00DF547B"/>
    <w:rsid w:val="00DF55A4"/>
    <w:rsid w:val="00DF648E"/>
    <w:rsid w:val="00DF7766"/>
    <w:rsid w:val="00E00AA7"/>
    <w:rsid w:val="00E01ABE"/>
    <w:rsid w:val="00E02A1F"/>
    <w:rsid w:val="00E06379"/>
    <w:rsid w:val="00E10CF9"/>
    <w:rsid w:val="00E12A61"/>
    <w:rsid w:val="00E20DAD"/>
    <w:rsid w:val="00E23F6B"/>
    <w:rsid w:val="00E24869"/>
    <w:rsid w:val="00E248B6"/>
    <w:rsid w:val="00E26070"/>
    <w:rsid w:val="00E315F9"/>
    <w:rsid w:val="00E33BF1"/>
    <w:rsid w:val="00E35467"/>
    <w:rsid w:val="00E4007A"/>
    <w:rsid w:val="00E40B34"/>
    <w:rsid w:val="00E41B88"/>
    <w:rsid w:val="00E429A3"/>
    <w:rsid w:val="00E4360E"/>
    <w:rsid w:val="00E51581"/>
    <w:rsid w:val="00E519B4"/>
    <w:rsid w:val="00E527F9"/>
    <w:rsid w:val="00E54FDA"/>
    <w:rsid w:val="00E55113"/>
    <w:rsid w:val="00E56B6F"/>
    <w:rsid w:val="00E57380"/>
    <w:rsid w:val="00E60035"/>
    <w:rsid w:val="00E60721"/>
    <w:rsid w:val="00E60CBA"/>
    <w:rsid w:val="00E64601"/>
    <w:rsid w:val="00E662C2"/>
    <w:rsid w:val="00E70823"/>
    <w:rsid w:val="00E72B4D"/>
    <w:rsid w:val="00E76998"/>
    <w:rsid w:val="00E77218"/>
    <w:rsid w:val="00E813F7"/>
    <w:rsid w:val="00E830A0"/>
    <w:rsid w:val="00E8358C"/>
    <w:rsid w:val="00E837E6"/>
    <w:rsid w:val="00E8429A"/>
    <w:rsid w:val="00E862E4"/>
    <w:rsid w:val="00E90844"/>
    <w:rsid w:val="00E92258"/>
    <w:rsid w:val="00E93E1D"/>
    <w:rsid w:val="00E94DC0"/>
    <w:rsid w:val="00E96398"/>
    <w:rsid w:val="00E973CF"/>
    <w:rsid w:val="00EA242B"/>
    <w:rsid w:val="00EA27BE"/>
    <w:rsid w:val="00EA454D"/>
    <w:rsid w:val="00EA6D80"/>
    <w:rsid w:val="00EA7F17"/>
    <w:rsid w:val="00EB0CB4"/>
    <w:rsid w:val="00EB58E9"/>
    <w:rsid w:val="00EC0B95"/>
    <w:rsid w:val="00EC223B"/>
    <w:rsid w:val="00EC2C80"/>
    <w:rsid w:val="00EC3E92"/>
    <w:rsid w:val="00EC4DBE"/>
    <w:rsid w:val="00EC6A9E"/>
    <w:rsid w:val="00ED0E6E"/>
    <w:rsid w:val="00ED2545"/>
    <w:rsid w:val="00ED3F35"/>
    <w:rsid w:val="00ED41DA"/>
    <w:rsid w:val="00EE1EE9"/>
    <w:rsid w:val="00EE36D4"/>
    <w:rsid w:val="00EE4E39"/>
    <w:rsid w:val="00EF3E0C"/>
    <w:rsid w:val="00EF45E1"/>
    <w:rsid w:val="00EF70FD"/>
    <w:rsid w:val="00F123E0"/>
    <w:rsid w:val="00F14B58"/>
    <w:rsid w:val="00F1792B"/>
    <w:rsid w:val="00F203CB"/>
    <w:rsid w:val="00F2444F"/>
    <w:rsid w:val="00F26387"/>
    <w:rsid w:val="00F30282"/>
    <w:rsid w:val="00F31461"/>
    <w:rsid w:val="00F31AA9"/>
    <w:rsid w:val="00F31D65"/>
    <w:rsid w:val="00F335B4"/>
    <w:rsid w:val="00F3383E"/>
    <w:rsid w:val="00F33982"/>
    <w:rsid w:val="00F34DF4"/>
    <w:rsid w:val="00F35714"/>
    <w:rsid w:val="00F36A00"/>
    <w:rsid w:val="00F36C5F"/>
    <w:rsid w:val="00F378A9"/>
    <w:rsid w:val="00F41E0E"/>
    <w:rsid w:val="00F422FF"/>
    <w:rsid w:val="00F4280B"/>
    <w:rsid w:val="00F42DEE"/>
    <w:rsid w:val="00F42F41"/>
    <w:rsid w:val="00F45657"/>
    <w:rsid w:val="00F50974"/>
    <w:rsid w:val="00F50996"/>
    <w:rsid w:val="00F52712"/>
    <w:rsid w:val="00F535CA"/>
    <w:rsid w:val="00F53DCE"/>
    <w:rsid w:val="00F546B9"/>
    <w:rsid w:val="00F55837"/>
    <w:rsid w:val="00F55B25"/>
    <w:rsid w:val="00F56033"/>
    <w:rsid w:val="00F613BA"/>
    <w:rsid w:val="00F649CA"/>
    <w:rsid w:val="00F653AC"/>
    <w:rsid w:val="00F664C4"/>
    <w:rsid w:val="00F70135"/>
    <w:rsid w:val="00F749EB"/>
    <w:rsid w:val="00F75378"/>
    <w:rsid w:val="00F81036"/>
    <w:rsid w:val="00F83924"/>
    <w:rsid w:val="00F847BF"/>
    <w:rsid w:val="00F90E2D"/>
    <w:rsid w:val="00F919D2"/>
    <w:rsid w:val="00FA0036"/>
    <w:rsid w:val="00FA301A"/>
    <w:rsid w:val="00FA3358"/>
    <w:rsid w:val="00FB1AAE"/>
    <w:rsid w:val="00FB32AA"/>
    <w:rsid w:val="00FB4DD7"/>
    <w:rsid w:val="00FB617E"/>
    <w:rsid w:val="00FC1198"/>
    <w:rsid w:val="00FC1E17"/>
    <w:rsid w:val="00FC2A75"/>
    <w:rsid w:val="00FC548B"/>
    <w:rsid w:val="00FC56A4"/>
    <w:rsid w:val="00FC6B1D"/>
    <w:rsid w:val="00FC70A1"/>
    <w:rsid w:val="00FC7E7B"/>
    <w:rsid w:val="00FD0842"/>
    <w:rsid w:val="00FD0A4F"/>
    <w:rsid w:val="00FD665E"/>
    <w:rsid w:val="00FE0DAD"/>
    <w:rsid w:val="00FE5DB7"/>
    <w:rsid w:val="00FE74C9"/>
    <w:rsid w:val="00FE756F"/>
    <w:rsid w:val="00FF1EF2"/>
    <w:rsid w:val="00FF30A1"/>
    <w:rsid w:val="00FF48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C5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B0CB4"/>
    <w:rPr>
      <w:rFonts w:cs="Times New Roman"/>
      <w:color w:val="0000FF"/>
      <w:u w:val="single"/>
    </w:rPr>
  </w:style>
  <w:style w:type="paragraph" w:customStyle="1" w:styleId="Default">
    <w:name w:val="Default"/>
    <w:uiPriority w:val="99"/>
    <w:rsid w:val="00ED2545"/>
    <w:pPr>
      <w:autoSpaceDE w:val="0"/>
      <w:autoSpaceDN w:val="0"/>
      <w:adjustRightInd w:val="0"/>
    </w:pPr>
    <w:rPr>
      <w:color w:val="000000"/>
      <w:sz w:val="24"/>
      <w:szCs w:val="24"/>
    </w:rPr>
  </w:style>
  <w:style w:type="paragraph" w:styleId="Footer">
    <w:name w:val="footer"/>
    <w:basedOn w:val="Normal"/>
    <w:link w:val="FooterChar"/>
    <w:uiPriority w:val="99"/>
    <w:rsid w:val="00E01ABE"/>
    <w:pPr>
      <w:tabs>
        <w:tab w:val="center" w:pos="4320"/>
        <w:tab w:val="right" w:pos="8640"/>
      </w:tabs>
    </w:pPr>
  </w:style>
  <w:style w:type="character" w:customStyle="1" w:styleId="FooterChar">
    <w:name w:val="Footer Char"/>
    <w:basedOn w:val="DefaultParagraphFont"/>
    <w:link w:val="Footer"/>
    <w:uiPriority w:val="99"/>
    <w:semiHidden/>
    <w:locked/>
    <w:rsid w:val="00583DF1"/>
    <w:rPr>
      <w:rFonts w:cs="Times New Roman"/>
      <w:sz w:val="24"/>
      <w:szCs w:val="24"/>
    </w:rPr>
  </w:style>
  <w:style w:type="character" w:styleId="PageNumber">
    <w:name w:val="page number"/>
    <w:basedOn w:val="DefaultParagraphFont"/>
    <w:uiPriority w:val="99"/>
    <w:rsid w:val="00E01ABE"/>
    <w:rPr>
      <w:rFonts w:cs="Times New Roman"/>
    </w:rPr>
  </w:style>
  <w:style w:type="character" w:styleId="CommentReference">
    <w:name w:val="annotation reference"/>
    <w:basedOn w:val="DefaultParagraphFont"/>
    <w:uiPriority w:val="99"/>
    <w:rsid w:val="008C3D5B"/>
    <w:rPr>
      <w:rFonts w:cs="Times New Roman"/>
      <w:sz w:val="16"/>
    </w:rPr>
  </w:style>
  <w:style w:type="paragraph" w:styleId="CommentText">
    <w:name w:val="annotation text"/>
    <w:basedOn w:val="Normal"/>
    <w:link w:val="CommentTextChar"/>
    <w:uiPriority w:val="99"/>
    <w:rsid w:val="008C3D5B"/>
    <w:rPr>
      <w:sz w:val="20"/>
      <w:szCs w:val="20"/>
    </w:rPr>
  </w:style>
  <w:style w:type="character" w:customStyle="1" w:styleId="CommentTextChar">
    <w:name w:val="Comment Text Char"/>
    <w:basedOn w:val="DefaultParagraphFont"/>
    <w:link w:val="CommentText"/>
    <w:uiPriority w:val="99"/>
    <w:locked/>
    <w:rsid w:val="008C3D5B"/>
    <w:rPr>
      <w:rFonts w:cs="Times New Roman"/>
      <w:lang w:eastAsia="en-US"/>
    </w:rPr>
  </w:style>
  <w:style w:type="paragraph" w:styleId="CommentSubject">
    <w:name w:val="annotation subject"/>
    <w:basedOn w:val="CommentText"/>
    <w:next w:val="CommentText"/>
    <w:link w:val="CommentSubjectChar"/>
    <w:uiPriority w:val="99"/>
    <w:rsid w:val="008C3D5B"/>
    <w:rPr>
      <w:b/>
      <w:bCs/>
    </w:rPr>
  </w:style>
  <w:style w:type="character" w:customStyle="1" w:styleId="CommentSubjectChar">
    <w:name w:val="Comment Subject Char"/>
    <w:basedOn w:val="CommentTextChar"/>
    <w:link w:val="CommentSubject"/>
    <w:uiPriority w:val="99"/>
    <w:locked/>
    <w:rsid w:val="008C3D5B"/>
    <w:rPr>
      <w:rFonts w:cs="Times New Roman"/>
      <w:b/>
      <w:lang w:eastAsia="en-US"/>
    </w:rPr>
  </w:style>
  <w:style w:type="paragraph" w:styleId="Revision">
    <w:name w:val="Revision"/>
    <w:hidden/>
    <w:uiPriority w:val="99"/>
    <w:semiHidden/>
    <w:rsid w:val="008C3D5B"/>
    <w:rPr>
      <w:sz w:val="24"/>
      <w:szCs w:val="24"/>
    </w:rPr>
  </w:style>
  <w:style w:type="paragraph" w:styleId="BalloonText">
    <w:name w:val="Balloon Text"/>
    <w:basedOn w:val="Normal"/>
    <w:link w:val="BalloonTextChar"/>
    <w:uiPriority w:val="99"/>
    <w:rsid w:val="008C3D5B"/>
    <w:rPr>
      <w:rFonts w:ascii="Tahoma" w:hAnsi="Tahoma"/>
      <w:sz w:val="16"/>
      <w:szCs w:val="16"/>
    </w:rPr>
  </w:style>
  <w:style w:type="character" w:customStyle="1" w:styleId="BalloonTextChar">
    <w:name w:val="Balloon Text Char"/>
    <w:basedOn w:val="DefaultParagraphFont"/>
    <w:link w:val="BalloonText"/>
    <w:uiPriority w:val="99"/>
    <w:locked/>
    <w:rsid w:val="008C3D5B"/>
    <w:rPr>
      <w:rFonts w:ascii="Tahoma" w:hAnsi="Tahoma" w:cs="Times New Roman"/>
      <w:sz w:val="16"/>
      <w:lang w:eastAsia="en-US"/>
    </w:rPr>
  </w:style>
  <w:style w:type="paragraph" w:styleId="Header">
    <w:name w:val="header"/>
    <w:basedOn w:val="Normal"/>
    <w:link w:val="HeaderChar"/>
    <w:uiPriority w:val="99"/>
    <w:rsid w:val="0055589E"/>
    <w:pPr>
      <w:tabs>
        <w:tab w:val="center" w:pos="4680"/>
        <w:tab w:val="right" w:pos="9360"/>
      </w:tabs>
    </w:pPr>
  </w:style>
  <w:style w:type="character" w:customStyle="1" w:styleId="HeaderChar">
    <w:name w:val="Header Char"/>
    <w:basedOn w:val="DefaultParagraphFont"/>
    <w:link w:val="Header"/>
    <w:uiPriority w:val="99"/>
    <w:locked/>
    <w:rsid w:val="0055589E"/>
    <w:rPr>
      <w:rFonts w:cs="Times New Roman"/>
      <w:sz w:val="24"/>
      <w:szCs w:val="24"/>
    </w:rPr>
  </w:style>
  <w:style w:type="table" w:styleId="TableGrid">
    <w:name w:val="Table Grid"/>
    <w:basedOn w:val="TableNormal"/>
    <w:uiPriority w:val="99"/>
    <w:rsid w:val="003F618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953B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C5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B0CB4"/>
    <w:rPr>
      <w:rFonts w:cs="Times New Roman"/>
      <w:color w:val="0000FF"/>
      <w:u w:val="single"/>
    </w:rPr>
  </w:style>
  <w:style w:type="paragraph" w:customStyle="1" w:styleId="Default">
    <w:name w:val="Default"/>
    <w:uiPriority w:val="99"/>
    <w:rsid w:val="00ED2545"/>
    <w:pPr>
      <w:autoSpaceDE w:val="0"/>
      <w:autoSpaceDN w:val="0"/>
      <w:adjustRightInd w:val="0"/>
    </w:pPr>
    <w:rPr>
      <w:color w:val="000000"/>
      <w:sz w:val="24"/>
      <w:szCs w:val="24"/>
    </w:rPr>
  </w:style>
  <w:style w:type="paragraph" w:styleId="Footer">
    <w:name w:val="footer"/>
    <w:basedOn w:val="Normal"/>
    <w:link w:val="FooterChar"/>
    <w:uiPriority w:val="99"/>
    <w:rsid w:val="00E01ABE"/>
    <w:pPr>
      <w:tabs>
        <w:tab w:val="center" w:pos="4320"/>
        <w:tab w:val="right" w:pos="8640"/>
      </w:tabs>
    </w:pPr>
  </w:style>
  <w:style w:type="character" w:customStyle="1" w:styleId="FooterChar">
    <w:name w:val="Footer Char"/>
    <w:basedOn w:val="DefaultParagraphFont"/>
    <w:link w:val="Footer"/>
    <w:uiPriority w:val="99"/>
    <w:semiHidden/>
    <w:locked/>
    <w:rsid w:val="00583DF1"/>
    <w:rPr>
      <w:rFonts w:cs="Times New Roman"/>
      <w:sz w:val="24"/>
      <w:szCs w:val="24"/>
    </w:rPr>
  </w:style>
  <w:style w:type="character" w:styleId="PageNumber">
    <w:name w:val="page number"/>
    <w:basedOn w:val="DefaultParagraphFont"/>
    <w:uiPriority w:val="99"/>
    <w:rsid w:val="00E01ABE"/>
    <w:rPr>
      <w:rFonts w:cs="Times New Roman"/>
    </w:rPr>
  </w:style>
  <w:style w:type="character" w:styleId="CommentReference">
    <w:name w:val="annotation reference"/>
    <w:basedOn w:val="DefaultParagraphFont"/>
    <w:uiPriority w:val="99"/>
    <w:rsid w:val="008C3D5B"/>
    <w:rPr>
      <w:rFonts w:cs="Times New Roman"/>
      <w:sz w:val="16"/>
    </w:rPr>
  </w:style>
  <w:style w:type="paragraph" w:styleId="CommentText">
    <w:name w:val="annotation text"/>
    <w:basedOn w:val="Normal"/>
    <w:link w:val="CommentTextChar"/>
    <w:uiPriority w:val="99"/>
    <w:rsid w:val="008C3D5B"/>
    <w:rPr>
      <w:sz w:val="20"/>
      <w:szCs w:val="20"/>
    </w:rPr>
  </w:style>
  <w:style w:type="character" w:customStyle="1" w:styleId="CommentTextChar">
    <w:name w:val="Comment Text Char"/>
    <w:basedOn w:val="DefaultParagraphFont"/>
    <w:link w:val="CommentText"/>
    <w:uiPriority w:val="99"/>
    <w:locked/>
    <w:rsid w:val="008C3D5B"/>
    <w:rPr>
      <w:rFonts w:cs="Times New Roman"/>
      <w:lang w:eastAsia="en-US"/>
    </w:rPr>
  </w:style>
  <w:style w:type="paragraph" w:styleId="CommentSubject">
    <w:name w:val="annotation subject"/>
    <w:basedOn w:val="CommentText"/>
    <w:next w:val="CommentText"/>
    <w:link w:val="CommentSubjectChar"/>
    <w:uiPriority w:val="99"/>
    <w:rsid w:val="008C3D5B"/>
    <w:rPr>
      <w:b/>
      <w:bCs/>
    </w:rPr>
  </w:style>
  <w:style w:type="character" w:customStyle="1" w:styleId="CommentSubjectChar">
    <w:name w:val="Comment Subject Char"/>
    <w:basedOn w:val="CommentTextChar"/>
    <w:link w:val="CommentSubject"/>
    <w:uiPriority w:val="99"/>
    <w:locked/>
    <w:rsid w:val="008C3D5B"/>
    <w:rPr>
      <w:rFonts w:cs="Times New Roman"/>
      <w:b/>
      <w:lang w:eastAsia="en-US"/>
    </w:rPr>
  </w:style>
  <w:style w:type="paragraph" w:styleId="Revision">
    <w:name w:val="Revision"/>
    <w:hidden/>
    <w:uiPriority w:val="99"/>
    <w:semiHidden/>
    <w:rsid w:val="008C3D5B"/>
    <w:rPr>
      <w:sz w:val="24"/>
      <w:szCs w:val="24"/>
    </w:rPr>
  </w:style>
  <w:style w:type="paragraph" w:styleId="BalloonText">
    <w:name w:val="Balloon Text"/>
    <w:basedOn w:val="Normal"/>
    <w:link w:val="BalloonTextChar"/>
    <w:uiPriority w:val="99"/>
    <w:rsid w:val="008C3D5B"/>
    <w:rPr>
      <w:rFonts w:ascii="Tahoma" w:hAnsi="Tahoma"/>
      <w:sz w:val="16"/>
      <w:szCs w:val="16"/>
    </w:rPr>
  </w:style>
  <w:style w:type="character" w:customStyle="1" w:styleId="BalloonTextChar">
    <w:name w:val="Balloon Text Char"/>
    <w:basedOn w:val="DefaultParagraphFont"/>
    <w:link w:val="BalloonText"/>
    <w:uiPriority w:val="99"/>
    <w:locked/>
    <w:rsid w:val="008C3D5B"/>
    <w:rPr>
      <w:rFonts w:ascii="Tahoma" w:hAnsi="Tahoma" w:cs="Times New Roman"/>
      <w:sz w:val="16"/>
      <w:lang w:eastAsia="en-US"/>
    </w:rPr>
  </w:style>
  <w:style w:type="paragraph" w:styleId="Header">
    <w:name w:val="header"/>
    <w:basedOn w:val="Normal"/>
    <w:link w:val="HeaderChar"/>
    <w:uiPriority w:val="99"/>
    <w:rsid w:val="0055589E"/>
    <w:pPr>
      <w:tabs>
        <w:tab w:val="center" w:pos="4680"/>
        <w:tab w:val="right" w:pos="9360"/>
      </w:tabs>
    </w:pPr>
  </w:style>
  <w:style w:type="character" w:customStyle="1" w:styleId="HeaderChar">
    <w:name w:val="Header Char"/>
    <w:basedOn w:val="DefaultParagraphFont"/>
    <w:link w:val="Header"/>
    <w:uiPriority w:val="99"/>
    <w:locked/>
    <w:rsid w:val="0055589E"/>
    <w:rPr>
      <w:rFonts w:cs="Times New Roman"/>
      <w:sz w:val="24"/>
      <w:szCs w:val="24"/>
    </w:rPr>
  </w:style>
  <w:style w:type="table" w:styleId="TableGrid">
    <w:name w:val="Table Grid"/>
    <w:basedOn w:val="TableNormal"/>
    <w:uiPriority w:val="99"/>
    <w:rsid w:val="003F618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953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471260">
      <w:bodyDiv w:val="1"/>
      <w:marLeft w:val="0"/>
      <w:marRight w:val="0"/>
      <w:marTop w:val="0"/>
      <w:marBottom w:val="0"/>
      <w:divBdr>
        <w:top w:val="none" w:sz="0" w:space="0" w:color="auto"/>
        <w:left w:val="none" w:sz="0" w:space="0" w:color="auto"/>
        <w:bottom w:val="none" w:sz="0" w:space="0" w:color="auto"/>
        <w:right w:val="none" w:sz="0" w:space="0" w:color="auto"/>
      </w:divBdr>
    </w:div>
    <w:div w:id="329915814">
      <w:bodyDiv w:val="1"/>
      <w:marLeft w:val="0"/>
      <w:marRight w:val="0"/>
      <w:marTop w:val="0"/>
      <w:marBottom w:val="0"/>
      <w:divBdr>
        <w:top w:val="none" w:sz="0" w:space="0" w:color="auto"/>
        <w:left w:val="none" w:sz="0" w:space="0" w:color="auto"/>
        <w:bottom w:val="none" w:sz="0" w:space="0" w:color="auto"/>
        <w:right w:val="none" w:sz="0" w:space="0" w:color="auto"/>
      </w:divBdr>
    </w:div>
    <w:div w:id="1678995628">
      <w:marLeft w:val="0"/>
      <w:marRight w:val="0"/>
      <w:marTop w:val="0"/>
      <w:marBottom w:val="0"/>
      <w:divBdr>
        <w:top w:val="none" w:sz="0" w:space="0" w:color="auto"/>
        <w:left w:val="none" w:sz="0" w:space="0" w:color="auto"/>
        <w:bottom w:val="none" w:sz="0" w:space="0" w:color="auto"/>
        <w:right w:val="none" w:sz="0" w:space="0" w:color="auto"/>
      </w:divBdr>
      <w:divsChild>
        <w:div w:id="1678995633">
          <w:marLeft w:val="0"/>
          <w:marRight w:val="0"/>
          <w:marTop w:val="0"/>
          <w:marBottom w:val="0"/>
          <w:divBdr>
            <w:top w:val="none" w:sz="0" w:space="0" w:color="auto"/>
            <w:left w:val="none" w:sz="0" w:space="0" w:color="auto"/>
            <w:bottom w:val="none" w:sz="0" w:space="0" w:color="auto"/>
            <w:right w:val="none" w:sz="0" w:space="0" w:color="auto"/>
          </w:divBdr>
          <w:divsChild>
            <w:div w:id="1678995631">
              <w:marLeft w:val="375"/>
              <w:marRight w:val="0"/>
              <w:marTop w:val="375"/>
              <w:marBottom w:val="0"/>
              <w:divBdr>
                <w:top w:val="none" w:sz="0" w:space="0" w:color="auto"/>
                <w:left w:val="none" w:sz="0" w:space="0" w:color="auto"/>
                <w:bottom w:val="none" w:sz="0" w:space="0" w:color="auto"/>
                <w:right w:val="none" w:sz="0" w:space="0" w:color="auto"/>
              </w:divBdr>
            </w:div>
          </w:divsChild>
        </w:div>
      </w:divsChild>
    </w:div>
    <w:div w:id="1678995630">
      <w:marLeft w:val="0"/>
      <w:marRight w:val="0"/>
      <w:marTop w:val="0"/>
      <w:marBottom w:val="0"/>
      <w:divBdr>
        <w:top w:val="none" w:sz="0" w:space="0" w:color="auto"/>
        <w:left w:val="none" w:sz="0" w:space="0" w:color="auto"/>
        <w:bottom w:val="none" w:sz="0" w:space="0" w:color="auto"/>
        <w:right w:val="none" w:sz="0" w:space="0" w:color="auto"/>
      </w:divBdr>
    </w:div>
    <w:div w:id="1678995632">
      <w:marLeft w:val="0"/>
      <w:marRight w:val="0"/>
      <w:marTop w:val="0"/>
      <w:marBottom w:val="0"/>
      <w:divBdr>
        <w:top w:val="none" w:sz="0" w:space="0" w:color="auto"/>
        <w:left w:val="none" w:sz="0" w:space="0" w:color="auto"/>
        <w:bottom w:val="none" w:sz="0" w:space="0" w:color="auto"/>
        <w:right w:val="none" w:sz="0" w:space="0" w:color="auto"/>
      </w:divBdr>
    </w:div>
    <w:div w:id="1678995635">
      <w:marLeft w:val="0"/>
      <w:marRight w:val="0"/>
      <w:marTop w:val="0"/>
      <w:marBottom w:val="0"/>
      <w:divBdr>
        <w:top w:val="none" w:sz="0" w:space="0" w:color="auto"/>
        <w:left w:val="none" w:sz="0" w:space="0" w:color="auto"/>
        <w:bottom w:val="none" w:sz="0" w:space="0" w:color="auto"/>
        <w:right w:val="none" w:sz="0" w:space="0" w:color="auto"/>
      </w:divBdr>
    </w:div>
    <w:div w:id="1678995636">
      <w:marLeft w:val="0"/>
      <w:marRight w:val="0"/>
      <w:marTop w:val="0"/>
      <w:marBottom w:val="0"/>
      <w:divBdr>
        <w:top w:val="none" w:sz="0" w:space="0" w:color="auto"/>
        <w:left w:val="none" w:sz="0" w:space="0" w:color="auto"/>
        <w:bottom w:val="none" w:sz="0" w:space="0" w:color="auto"/>
        <w:right w:val="none" w:sz="0" w:space="0" w:color="auto"/>
      </w:divBdr>
      <w:divsChild>
        <w:div w:id="1678995629">
          <w:marLeft w:val="0"/>
          <w:marRight w:val="0"/>
          <w:marTop w:val="0"/>
          <w:marBottom w:val="0"/>
          <w:divBdr>
            <w:top w:val="none" w:sz="0" w:space="0" w:color="auto"/>
            <w:left w:val="none" w:sz="0" w:space="0" w:color="auto"/>
            <w:bottom w:val="none" w:sz="0" w:space="0" w:color="auto"/>
            <w:right w:val="none" w:sz="0" w:space="0" w:color="auto"/>
          </w:divBdr>
          <w:divsChild>
            <w:div w:id="1678995637">
              <w:marLeft w:val="375"/>
              <w:marRight w:val="0"/>
              <w:marTop w:val="375"/>
              <w:marBottom w:val="0"/>
              <w:divBdr>
                <w:top w:val="none" w:sz="0" w:space="0" w:color="auto"/>
                <w:left w:val="none" w:sz="0" w:space="0" w:color="auto"/>
                <w:bottom w:val="none" w:sz="0" w:space="0" w:color="auto"/>
                <w:right w:val="none" w:sz="0" w:space="0" w:color="auto"/>
              </w:divBdr>
            </w:div>
          </w:divsChild>
        </w:div>
      </w:divsChild>
    </w:div>
    <w:div w:id="1678995638">
      <w:marLeft w:val="0"/>
      <w:marRight w:val="0"/>
      <w:marTop w:val="0"/>
      <w:marBottom w:val="0"/>
      <w:divBdr>
        <w:top w:val="none" w:sz="0" w:space="0" w:color="auto"/>
        <w:left w:val="none" w:sz="0" w:space="0" w:color="auto"/>
        <w:bottom w:val="none" w:sz="0" w:space="0" w:color="auto"/>
        <w:right w:val="none" w:sz="0" w:space="0" w:color="auto"/>
      </w:divBdr>
      <w:divsChild>
        <w:div w:id="1678995634">
          <w:marLeft w:val="0"/>
          <w:marRight w:val="0"/>
          <w:marTop w:val="0"/>
          <w:marBottom w:val="0"/>
          <w:divBdr>
            <w:top w:val="none" w:sz="0" w:space="0" w:color="auto"/>
            <w:left w:val="none" w:sz="0" w:space="0" w:color="auto"/>
            <w:bottom w:val="none" w:sz="0" w:space="0" w:color="auto"/>
            <w:right w:val="none" w:sz="0" w:space="0" w:color="auto"/>
          </w:divBdr>
          <w:divsChild>
            <w:div w:id="167899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19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DFBD6-CEA0-49B3-9BB9-610524572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2122</Words>
  <Characters>15369</Characters>
  <Application>Microsoft Office Word</Application>
  <DocSecurity>0</DocSecurity>
  <Lines>128</Lines>
  <Paragraphs>34</Paragraphs>
  <ScaleCrop>false</ScaleCrop>
  <HeadingPairs>
    <vt:vector size="2" baseType="variant">
      <vt:variant>
        <vt:lpstr>Title</vt:lpstr>
      </vt:variant>
      <vt:variant>
        <vt:i4>1</vt:i4>
      </vt:variant>
    </vt:vector>
  </HeadingPairs>
  <TitlesOfParts>
    <vt:vector size="1" baseType="lpstr">
      <vt:lpstr>Infusion of marrow fibroblastic cells protects lung from irradiation-induced injury in canine model</vt:lpstr>
    </vt:vector>
  </TitlesOfParts>
  <Company>Fred Hutchinson Cancer Research Center</Company>
  <LinksUpToDate>false</LinksUpToDate>
  <CharactersWithSpaces>17457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Infusion of marrow fibroblastic cells protects lung from irradiation-induced injury in canine model</dc:title>
  <dc:creator>don2</dc:creator>
  <cp:lastModifiedBy>Crawford, Helen S</cp:lastModifiedBy>
  <cp:revision>3</cp:revision>
  <cp:lastPrinted>2012-12-20T19:15:00Z</cp:lastPrinted>
  <dcterms:created xsi:type="dcterms:W3CDTF">2013-01-24T19:01:00Z</dcterms:created>
  <dcterms:modified xsi:type="dcterms:W3CDTF">2013-01-24T19:01:00Z</dcterms:modified>
</cp:coreProperties>
</file>