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36" w:rsidRPr="00B747AE" w:rsidRDefault="00DF7B03" w:rsidP="00E07C36">
      <w:pPr>
        <w:rPr>
          <w:b/>
        </w:rPr>
      </w:pPr>
      <w:r>
        <w:rPr>
          <w:b/>
        </w:rPr>
        <w:t xml:space="preserve">Text </w:t>
      </w:r>
      <w:r w:rsidR="00E07C36">
        <w:rPr>
          <w:b/>
        </w:rPr>
        <w:t xml:space="preserve"> </w:t>
      </w:r>
      <w:r>
        <w:rPr>
          <w:b/>
        </w:rPr>
        <w:t>S</w:t>
      </w:r>
      <w:r w:rsidR="00E07C36">
        <w:rPr>
          <w:b/>
        </w:rPr>
        <w:t>1 – Statistical Analysis</w:t>
      </w:r>
    </w:p>
    <w:p w:rsidR="00E07C36" w:rsidRDefault="00E07C36" w:rsidP="00E07C36"/>
    <w:p w:rsidR="00E07C36" w:rsidRPr="00B747AE" w:rsidRDefault="00E07C36" w:rsidP="00E07C36">
      <w:pPr>
        <w:rPr>
          <w:b/>
        </w:rPr>
      </w:pPr>
      <w:r w:rsidRPr="00B747AE">
        <w:rPr>
          <w:b/>
        </w:rPr>
        <w:t>Linear regression</w:t>
      </w:r>
    </w:p>
    <w:p w:rsidR="00E07C36" w:rsidRDefault="00E07C36" w:rsidP="00E07C36"/>
    <w:p w:rsidR="00E07C36" w:rsidRDefault="00E07C36" w:rsidP="00E07C36">
      <w:pPr>
        <w:spacing w:line="480" w:lineRule="auto"/>
        <w:rPr>
          <w:rFonts w:ascii="Times New Roman" w:hAnsi="Times New Roman"/>
        </w:rPr>
      </w:pPr>
      <w:r w:rsidRPr="009D4497">
        <w:rPr>
          <w:rFonts w:ascii="Times New Roman" w:hAnsi="Times New Roman"/>
          <w:i/>
        </w:rPr>
        <w:t>y</w:t>
      </w:r>
      <w:r>
        <w:rPr>
          <w:rFonts w:ascii="Times New Roman" w:hAnsi="Times New Roman"/>
        </w:rPr>
        <w:t xml:space="preserve"> = </w:t>
      </w:r>
      <w:r w:rsidRPr="009D4497">
        <w:rPr>
          <w:rFonts w:ascii="Times New Roman" w:hAnsi="Times New Roman"/>
          <w:i/>
        </w:rPr>
        <w:t>β</w:t>
      </w:r>
      <w:r w:rsidRPr="009D4497">
        <w:rPr>
          <w:rFonts w:ascii="Times New Roman" w:hAnsi="Times New Roman"/>
          <w:i/>
          <w:vertAlign w:val="subscript"/>
        </w:rPr>
        <w:t>0</w:t>
      </w:r>
      <w:r>
        <w:rPr>
          <w:rFonts w:ascii="Times New Roman" w:hAnsi="Times New Roman"/>
        </w:rPr>
        <w:t xml:space="preserve"> </w:t>
      </w:r>
      <w:proofErr w:type="gramStart"/>
      <w:r>
        <w:rPr>
          <w:rFonts w:ascii="Times New Roman" w:hAnsi="Times New Roman"/>
        </w:rPr>
        <w:t xml:space="preserve">+  </w:t>
      </w:r>
      <w:r w:rsidRPr="009D4497">
        <w:rPr>
          <w:rFonts w:ascii="Times New Roman" w:hAnsi="Times New Roman"/>
          <w:i/>
        </w:rPr>
        <w:t>β</w:t>
      </w:r>
      <w:r w:rsidRPr="009D4497">
        <w:rPr>
          <w:rFonts w:ascii="Times New Roman" w:hAnsi="Times New Roman"/>
          <w:i/>
          <w:vertAlign w:val="subscript"/>
        </w:rPr>
        <w:t>1</w:t>
      </w:r>
      <w:r w:rsidRPr="009D4497">
        <w:rPr>
          <w:rFonts w:ascii="Times New Roman" w:hAnsi="Times New Roman"/>
          <w:i/>
        </w:rPr>
        <w:t>x</w:t>
      </w:r>
      <w:proofErr w:type="gramEnd"/>
      <w:r>
        <w:rPr>
          <w:rFonts w:ascii="Times New Roman" w:hAnsi="Times New Roman"/>
        </w:rPr>
        <w:t xml:space="preserve"> + </w:t>
      </w:r>
      <w:r w:rsidRPr="009D4497">
        <w:rPr>
          <w:rFonts w:ascii="Times New Roman" w:hAnsi="Times New Roman"/>
          <w:i/>
        </w:rPr>
        <w:t xml:space="preserve">ε </w:t>
      </w:r>
      <w:r>
        <w:rPr>
          <w:rFonts w:ascii="Times New Roman" w:hAnsi="Times New Roman"/>
        </w:rPr>
        <w:t xml:space="preserve"> (1)</w:t>
      </w:r>
    </w:p>
    <w:p w:rsidR="00E07C36" w:rsidRDefault="00E07C36" w:rsidP="00E07C36">
      <w:pPr>
        <w:rPr>
          <w:rFonts w:ascii="Times New Roman" w:hAnsi="Times New Roman"/>
        </w:rPr>
      </w:pPr>
      <w:r>
        <w:rPr>
          <w:rFonts w:ascii="Times New Roman" w:hAnsi="Times New Roman"/>
        </w:rPr>
        <w:t xml:space="preserve">In Model 1, </w:t>
      </w:r>
      <w:r w:rsidRPr="00B34D59">
        <w:rPr>
          <w:rFonts w:ascii="Times New Roman" w:hAnsi="Times New Roman"/>
          <w:i/>
        </w:rPr>
        <w:t>y</w:t>
      </w:r>
      <w:r>
        <w:rPr>
          <w:rFonts w:ascii="Times New Roman" w:hAnsi="Times New Roman"/>
        </w:rPr>
        <w:t xml:space="preserve"> is the annual admission rate and </w:t>
      </w:r>
      <w:r w:rsidRPr="00B34D59">
        <w:rPr>
          <w:rFonts w:ascii="Times New Roman" w:hAnsi="Times New Roman"/>
          <w:i/>
        </w:rPr>
        <w:t>x</w:t>
      </w:r>
      <w:r>
        <w:rPr>
          <w:rFonts w:ascii="Times New Roman" w:hAnsi="Times New Roman"/>
        </w:rPr>
        <w:t xml:space="preserve"> is the year of admission.</w:t>
      </w:r>
    </w:p>
    <w:p w:rsidR="00E07C36" w:rsidRPr="00B747AE" w:rsidRDefault="00E07C36" w:rsidP="00E07C36">
      <w:pPr>
        <w:rPr>
          <w:rFonts w:ascii="Times New Roman" w:hAnsi="Times New Roman"/>
          <w:b/>
        </w:rPr>
      </w:pPr>
    </w:p>
    <w:p w:rsidR="00E07C36" w:rsidRPr="00B747AE" w:rsidRDefault="00E07C36" w:rsidP="00E07C36">
      <w:pPr>
        <w:rPr>
          <w:rFonts w:ascii="Times New Roman" w:hAnsi="Times New Roman"/>
          <w:b/>
        </w:rPr>
      </w:pPr>
      <w:r w:rsidRPr="00B747AE">
        <w:rPr>
          <w:rFonts w:ascii="Times New Roman" w:hAnsi="Times New Roman"/>
          <w:b/>
        </w:rPr>
        <w:t xml:space="preserve">ARIMA </w:t>
      </w:r>
      <w:r>
        <w:rPr>
          <w:rFonts w:ascii="Times New Roman" w:hAnsi="Times New Roman"/>
          <w:b/>
        </w:rPr>
        <w:t>(</w:t>
      </w:r>
      <w:proofErr w:type="spellStart"/>
      <w:r>
        <w:rPr>
          <w:rFonts w:ascii="Times New Roman" w:hAnsi="Times New Roman"/>
          <w:b/>
        </w:rPr>
        <w:t>p</w:t>
      </w:r>
      <w:proofErr w:type="gramStart"/>
      <w:r>
        <w:rPr>
          <w:rFonts w:ascii="Times New Roman" w:hAnsi="Times New Roman"/>
          <w:b/>
        </w:rPr>
        <w:t>,d,q</w:t>
      </w:r>
      <w:proofErr w:type="spellEnd"/>
      <w:proofErr w:type="gramEnd"/>
      <w:r>
        <w:rPr>
          <w:rFonts w:ascii="Times New Roman" w:hAnsi="Times New Roman"/>
          <w:b/>
        </w:rPr>
        <w:t xml:space="preserve">) </w:t>
      </w:r>
      <w:r w:rsidRPr="00B747AE">
        <w:rPr>
          <w:rFonts w:ascii="Times New Roman" w:hAnsi="Times New Roman"/>
          <w:b/>
        </w:rPr>
        <w:t>Models</w:t>
      </w:r>
    </w:p>
    <w:p w:rsidR="00E07C36" w:rsidRDefault="00E07C36" w:rsidP="00E07C36">
      <w:pPr>
        <w:rPr>
          <w:rFonts w:ascii="Times New Roman" w:hAnsi="Times New Roman"/>
        </w:rPr>
      </w:pPr>
    </w:p>
    <w:p w:rsidR="00E07C36" w:rsidRDefault="00E07C36" w:rsidP="00E07C36">
      <w:pPr>
        <w:tabs>
          <w:tab w:val="left" w:pos="907"/>
        </w:tabs>
        <w:spacing w:line="480" w:lineRule="auto"/>
        <w:rPr>
          <w:rFonts w:ascii="Times New Roman" w:hAnsi="Times New Roman"/>
        </w:rPr>
      </w:pPr>
      <w:r>
        <w:rPr>
          <w:rFonts w:ascii="Times New Roman" w:hAnsi="Times New Roman"/>
        </w:rPr>
        <w:t>For conditions with a unit root, including AMI (0,1,2), angina (0,1,2), stroke (6,1,0) and pancreatitis (3,1,0), Model 2 was used:</w:t>
      </w:r>
    </w:p>
    <w:bookmarkStart w:id="0" w:name="_GoBack"/>
    <w:p w:rsidR="00E07C36" w:rsidRDefault="00E07C36" w:rsidP="00E07C36">
      <w:pPr>
        <w:tabs>
          <w:tab w:val="left" w:pos="907"/>
        </w:tabs>
        <w:spacing w:line="480" w:lineRule="auto"/>
        <w:rPr>
          <w:rFonts w:ascii="Times New Roman" w:hAnsi="Times New Roman"/>
        </w:rPr>
      </w:pPr>
      <w:r w:rsidRPr="003B1107">
        <w:rPr>
          <w:rFonts w:ascii="Times New Roman" w:hAnsi="Times New Roman"/>
          <w:position w:val="-30"/>
        </w:rPr>
        <w:object w:dxaOrig="5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35pt;height:36.55pt" o:ole="">
            <v:imagedata r:id="rId6" o:title=""/>
          </v:shape>
          <o:OLEObject Type="Embed" ProgID="Equation.3" ShapeID="_x0000_i1025" DrawAspect="Content" ObjectID="_1421133091" r:id="rId7"/>
        </w:object>
      </w:r>
      <w:bookmarkEnd w:id="0"/>
      <w:r>
        <w:rPr>
          <w:rFonts w:ascii="Times New Roman" w:hAnsi="Times New Roman"/>
        </w:rPr>
        <w:t>(2)</w:t>
      </w:r>
    </w:p>
    <w:p w:rsidR="00E07C36" w:rsidRDefault="00E07C36" w:rsidP="00E07C36">
      <w:pPr>
        <w:tabs>
          <w:tab w:val="left" w:pos="907"/>
        </w:tabs>
        <w:spacing w:line="480" w:lineRule="auto"/>
        <w:rPr>
          <w:rFonts w:ascii="Times New Roman" w:hAnsi="Times New Roman"/>
        </w:rPr>
      </w:pPr>
    </w:p>
    <w:p w:rsidR="00E07C36" w:rsidRDefault="00E07C36" w:rsidP="00E07C36">
      <w:pPr>
        <w:tabs>
          <w:tab w:val="left" w:pos="907"/>
        </w:tabs>
        <w:spacing w:line="480" w:lineRule="auto"/>
        <w:rPr>
          <w:rFonts w:ascii="Times New Roman" w:hAnsi="Times New Roman"/>
        </w:rPr>
      </w:pPr>
      <w:r>
        <w:rPr>
          <w:rFonts w:ascii="Times New Roman" w:hAnsi="Times New Roman"/>
        </w:rPr>
        <w:t xml:space="preserve">In the above equation, </w:t>
      </w:r>
      <w:r w:rsidRPr="001A3E99">
        <w:rPr>
          <w:rFonts w:ascii="Times New Roman" w:hAnsi="Times New Roman"/>
          <w:position w:val="-12"/>
        </w:rPr>
        <w:object w:dxaOrig="740" w:dyaOrig="360">
          <v:shape id="_x0000_i1026" type="#_x0000_t75" style="width:48pt;height:18.55pt" o:ole="">
            <v:imagedata r:id="rId8" o:title=""/>
          </v:shape>
          <o:OLEObject Type="Embed" ProgID="Equation.3" ShapeID="_x0000_i1026" DrawAspect="Content" ObjectID="_1421133092" r:id="rId9"/>
        </w:object>
      </w:r>
      <w:r>
        <w:rPr>
          <w:rFonts w:ascii="Times New Roman" w:hAnsi="Times New Roman"/>
        </w:rPr>
        <w:t>represents the differenced integrated component (</w:t>
      </w:r>
      <w:r w:rsidRPr="001A3E99">
        <w:rPr>
          <w:rFonts w:ascii="Times New Roman" w:hAnsi="Times New Roman"/>
          <w:i/>
        </w:rPr>
        <w:t>d</w:t>
      </w:r>
      <w:r>
        <w:rPr>
          <w:rFonts w:ascii="Times New Roman" w:hAnsi="Times New Roman"/>
        </w:rPr>
        <w:t xml:space="preserve">); </w:t>
      </w:r>
      <w:r w:rsidRPr="00CC37C0">
        <w:rPr>
          <w:position w:val="-30"/>
        </w:rPr>
        <w:object w:dxaOrig="999" w:dyaOrig="720">
          <v:shape id="_x0000_i1027" type="#_x0000_t75" style="width:54.55pt;height:36.55pt" o:ole="">
            <v:imagedata r:id="rId10" o:title=""/>
          </v:shape>
          <o:OLEObject Type="Embed" ProgID="Equation.3" ShapeID="_x0000_i1027" DrawAspect="Content" ObjectID="_1421133093" r:id="rId11"/>
        </w:object>
      </w:r>
      <w:r>
        <w:rPr>
          <w:rFonts w:ascii="Times New Roman" w:hAnsi="Times New Roman"/>
        </w:rPr>
        <w:t xml:space="preserve"> includes all autocorrelation parameters; </w:t>
      </w:r>
      <w:r w:rsidRPr="00CC37C0">
        <w:rPr>
          <w:position w:val="-30"/>
        </w:rPr>
        <w:object w:dxaOrig="920" w:dyaOrig="720">
          <v:shape id="_x0000_i1028" type="#_x0000_t75" style="width:51.8pt;height:36.55pt" o:ole="">
            <v:imagedata r:id="rId12" o:title=""/>
          </v:shape>
          <o:OLEObject Type="Embed" ProgID="Equation.3" ShapeID="_x0000_i1028" DrawAspect="Content" ObjectID="_1421133094" r:id="rId13"/>
        </w:object>
      </w:r>
      <w:r>
        <w:rPr>
          <w:rFonts w:ascii="Times New Roman" w:hAnsi="Times New Roman"/>
        </w:rPr>
        <w:t xml:space="preserve"> includes the moving-average parameters; </w:t>
      </w:r>
      <w:r w:rsidRPr="0076164B">
        <w:rPr>
          <w:rFonts w:ascii="Times New Roman" w:hAnsi="Times New Roman"/>
          <w:position w:val="-6"/>
        </w:rPr>
        <w:object w:dxaOrig="220" w:dyaOrig="279">
          <v:shape id="_x0000_i1029" type="#_x0000_t75" style="width:14.2pt;height:14.2pt" o:ole="">
            <v:imagedata r:id="rId14" o:title=""/>
          </v:shape>
          <o:OLEObject Type="Embed" ProgID="Equation.3" ShapeID="_x0000_i1029" DrawAspect="Content" ObjectID="_1421133095" r:id="rId15"/>
        </w:object>
      </w:r>
      <w:r>
        <w:rPr>
          <w:rFonts w:ascii="Times New Roman" w:hAnsi="Times New Roman"/>
        </w:rPr>
        <w:t xml:space="preserve"> is a dummy variable representing pre-ban (</w:t>
      </w:r>
      <w:r w:rsidRPr="0076164B">
        <w:rPr>
          <w:rFonts w:ascii="Times New Roman" w:hAnsi="Times New Roman"/>
          <w:position w:val="-6"/>
        </w:rPr>
        <w:object w:dxaOrig="220" w:dyaOrig="279">
          <v:shape id="_x0000_i1030" type="#_x0000_t75" style="width:12pt;height:14.2pt" o:ole="">
            <v:imagedata r:id="rId16" o:title=""/>
          </v:shape>
          <o:OLEObject Type="Embed" ProgID="Equation.3" ShapeID="_x0000_i1030" DrawAspect="Content" ObjectID="_1421133096" r:id="rId17"/>
        </w:object>
      </w:r>
      <w:r>
        <w:rPr>
          <w:rFonts w:ascii="Times New Roman" w:hAnsi="Times New Roman"/>
        </w:rPr>
        <w:t>=0) and post-ban (</w:t>
      </w:r>
      <w:r w:rsidRPr="0076164B">
        <w:rPr>
          <w:rFonts w:ascii="Times New Roman" w:hAnsi="Times New Roman"/>
          <w:position w:val="-6"/>
        </w:rPr>
        <w:object w:dxaOrig="220" w:dyaOrig="279">
          <v:shape id="_x0000_i1031" type="#_x0000_t75" style="width:12pt;height:14.2pt" o:ole="">
            <v:imagedata r:id="rId18" o:title=""/>
          </v:shape>
          <o:OLEObject Type="Embed" ProgID="Equation.3" ShapeID="_x0000_i1031" DrawAspect="Content" ObjectID="_1421133097" r:id="rId19"/>
        </w:object>
      </w:r>
      <w:r>
        <w:rPr>
          <w:rFonts w:ascii="Times New Roman" w:hAnsi="Times New Roman"/>
        </w:rPr>
        <w:t>=1) periods;</w:t>
      </w:r>
      <w:r w:rsidRPr="00B747AE">
        <w:rPr>
          <w:rFonts w:ascii="Times New Roman" w:hAnsi="Times New Roman"/>
          <w:position w:val="-10"/>
        </w:rPr>
        <w:object w:dxaOrig="220" w:dyaOrig="260">
          <v:shape id="_x0000_i1032" type="#_x0000_t75" style="width:12pt;height:14.75pt" o:ole="">
            <v:imagedata r:id="rId20" o:title=""/>
          </v:shape>
          <o:OLEObject Type="Embed" ProgID="Equation.3" ShapeID="_x0000_i1032" DrawAspect="Content" ObjectID="_1421133098" r:id="rId21"/>
        </w:object>
      </w:r>
      <w:r>
        <w:rPr>
          <w:rFonts w:ascii="Times New Roman" w:hAnsi="Times New Roman"/>
          <w:position w:val="-6"/>
        </w:rPr>
        <w:t xml:space="preserve"> is a count of months after intervention from 1 to 67 (pre-ban months=0) ; </w:t>
      </w:r>
      <w:r w:rsidRPr="00372C26">
        <w:rPr>
          <w:rFonts w:ascii="Times New Roman" w:hAnsi="Times New Roman"/>
          <w:position w:val="-10"/>
        </w:rPr>
        <w:object w:dxaOrig="240" w:dyaOrig="260">
          <v:shape id="_x0000_i1033" type="#_x0000_t75" style="width:10.35pt;height:13.1pt" o:ole="">
            <v:imagedata r:id="rId22" o:title=""/>
          </v:shape>
          <o:OLEObject Type="Embed" ProgID="Equation.3" ShapeID="_x0000_i1033" DrawAspect="Content" ObjectID="_1421133099" r:id="rId23"/>
        </w:object>
      </w:r>
      <w:r>
        <w:rPr>
          <w:rFonts w:ascii="Times New Roman" w:hAnsi="Times New Roman"/>
          <w:position w:val="-6"/>
        </w:rPr>
        <w:t xml:space="preserve">is a count of months for the entire study period </w:t>
      </w:r>
      <w:r>
        <w:rPr>
          <w:rFonts w:ascii="Times New Roman" w:hAnsi="Times New Roman"/>
        </w:rPr>
        <w:t xml:space="preserve">; and </w:t>
      </w:r>
      <m:oMath>
        <m:r>
          <w:rPr>
            <w:rFonts w:ascii="Cambria Math" w:hAnsi="Cambria Math"/>
          </w:rPr>
          <m:t>ϵ</m:t>
        </m:r>
      </m:oMath>
      <w:r>
        <w:rPr>
          <w:rFonts w:ascii="Times New Roman" w:hAnsi="Times New Roman"/>
        </w:rPr>
        <w:t xml:space="preserve"> is a white-noise disturbance </w:t>
      </w:r>
      <w:r w:rsidR="00877B5D" w:rsidRPr="00690984">
        <w:rPr>
          <w:rFonts w:ascii="Times New Roman" w:hAnsi="Times New Roman"/>
        </w:rPr>
        <w:fldChar w:fldCharType="begin"/>
      </w:r>
      <w:r>
        <w:rPr>
          <w:rFonts w:ascii="Times New Roman" w:hAnsi="Times New Roman"/>
        </w:rPr>
        <w:instrText xml:space="preserve"> ADDIN ZOTERO_ITEM CSL_CITATION {"citationID":"2jr45j5tat","properties":{"formattedCitation":"[43]","plainCitation":"[43]"},"citationItems":[{"id":389,"uris":["http://zotero.org/users/993266/items/UHJHWSEZ"],"itemData":{"id":389,"type":"book","title":"Stata Release 10 Time Series","publisher":"Stata Press","publisher-place":"College Stations, TX 77845 USA","event-place":"College Stations, TX 77845 USA","author":[{"family":"Stata Corp LP","given":""}],"issued":{"year":2007}}}],"schema":"https://github.com/citation-style-language/schema/raw/master/csl-citation.json"} </w:instrText>
      </w:r>
      <w:r w:rsidR="00877B5D" w:rsidRPr="00690984">
        <w:rPr>
          <w:rFonts w:ascii="Times New Roman" w:hAnsi="Times New Roman"/>
        </w:rPr>
        <w:fldChar w:fldCharType="separate"/>
      </w:r>
      <w:r>
        <w:rPr>
          <w:rFonts w:ascii="Times New Roman" w:hAnsi="Times New Roman"/>
        </w:rPr>
        <w:t>[</w:t>
      </w:r>
      <w:r w:rsidR="00EA65D7">
        <w:rPr>
          <w:rFonts w:ascii="Times New Roman" w:hAnsi="Times New Roman"/>
        </w:rPr>
        <w:t>1</w:t>
      </w:r>
      <w:r>
        <w:rPr>
          <w:rFonts w:ascii="Times New Roman" w:hAnsi="Times New Roman"/>
        </w:rPr>
        <w:t>]</w:t>
      </w:r>
      <w:r w:rsidR="00877B5D" w:rsidRPr="00690984">
        <w:rPr>
          <w:rFonts w:ascii="Times New Roman" w:hAnsi="Times New Roman"/>
        </w:rPr>
        <w:fldChar w:fldCharType="end"/>
      </w:r>
      <w:r>
        <w:rPr>
          <w:rFonts w:ascii="Times New Roman" w:hAnsi="Times New Roman"/>
        </w:rPr>
        <w:t>. For appendicitis (0</w:t>
      </w:r>
      <w:proofErr w:type="gramStart"/>
      <w:r>
        <w:rPr>
          <w:rFonts w:ascii="Times New Roman" w:hAnsi="Times New Roman"/>
        </w:rPr>
        <w:t>,0,1</w:t>
      </w:r>
      <w:proofErr w:type="gramEnd"/>
      <w:r>
        <w:rPr>
          <w:rFonts w:ascii="Times New Roman" w:hAnsi="Times New Roman"/>
        </w:rPr>
        <w:t>) and bowel obstruction (0,0,0) without an integrated component, no differenced terms were included (Model 3):</w:t>
      </w:r>
    </w:p>
    <w:p w:rsidR="00E07C36" w:rsidRDefault="00E07C36" w:rsidP="00E07C36">
      <w:pPr>
        <w:tabs>
          <w:tab w:val="left" w:pos="907"/>
        </w:tabs>
        <w:spacing w:line="480" w:lineRule="auto"/>
        <w:rPr>
          <w:rFonts w:ascii="Times New Roman" w:hAnsi="Times New Roman"/>
        </w:rPr>
      </w:pPr>
      <w:r w:rsidRPr="00CC37C0">
        <w:rPr>
          <w:rFonts w:ascii="Times New Roman" w:hAnsi="Times New Roman"/>
          <w:position w:val="-30"/>
        </w:rPr>
        <w:object w:dxaOrig="4080" w:dyaOrig="720">
          <v:shape id="_x0000_i1034" type="#_x0000_t75" style="width:205.1pt;height:36.55pt" o:ole="">
            <v:imagedata r:id="rId24" o:title=""/>
          </v:shape>
          <o:OLEObject Type="Embed" ProgID="Equation.3" ShapeID="_x0000_i1034" DrawAspect="Content" ObjectID="_1421133100" r:id="rId25"/>
        </w:object>
      </w:r>
      <w:r>
        <w:rPr>
          <w:rFonts w:ascii="Times New Roman" w:hAnsi="Times New Roman"/>
        </w:rPr>
        <w:t>(3)</w:t>
      </w:r>
    </w:p>
    <w:p w:rsidR="00E07C36" w:rsidRDefault="00E07C36" w:rsidP="00E07C36">
      <w:pPr>
        <w:tabs>
          <w:tab w:val="left" w:pos="907"/>
        </w:tabs>
        <w:spacing w:line="480" w:lineRule="auto"/>
        <w:rPr>
          <w:rFonts w:ascii="Times New Roman" w:hAnsi="Times New Roman"/>
        </w:rPr>
      </w:pPr>
      <w:r>
        <w:rPr>
          <w:rFonts w:ascii="Times New Roman" w:hAnsi="Times New Roman"/>
        </w:rPr>
        <w:t>In the final modeling process, these were changed to differenced models using Model 2 for appendicitis (5</w:t>
      </w:r>
      <w:proofErr w:type="gramStart"/>
      <w:r>
        <w:rPr>
          <w:rFonts w:ascii="Times New Roman" w:hAnsi="Times New Roman"/>
        </w:rPr>
        <w:t>,1,0</w:t>
      </w:r>
      <w:proofErr w:type="gramEnd"/>
      <w:r>
        <w:rPr>
          <w:rFonts w:ascii="Times New Roman" w:hAnsi="Times New Roman"/>
        </w:rPr>
        <w:t>) and bowel obstruction (0,1,4) to ensure the change in ban mean and ban trend were being modeled in the same way for all conditions. Finally, for adult (10</w:t>
      </w:r>
      <w:proofErr w:type="gramStart"/>
      <w:r>
        <w:rPr>
          <w:rFonts w:ascii="Times New Roman" w:hAnsi="Times New Roman"/>
        </w:rPr>
        <w:t>,1,0</w:t>
      </w:r>
      <w:proofErr w:type="gramEnd"/>
      <w:r>
        <w:rPr>
          <w:rFonts w:ascii="Times New Roman" w:hAnsi="Times New Roman"/>
        </w:rPr>
        <w:t>) and pediatric (11,1,0) asthma, where a natural logarithm transformation was required, the model of choice is:</w:t>
      </w:r>
    </w:p>
    <w:p w:rsidR="00E07C36" w:rsidRDefault="00E07C36" w:rsidP="00E07C36">
      <w:pPr>
        <w:tabs>
          <w:tab w:val="left" w:pos="907"/>
        </w:tabs>
        <w:spacing w:line="480" w:lineRule="auto"/>
        <w:rPr>
          <w:rFonts w:ascii="Times New Roman" w:hAnsi="Times New Roman"/>
        </w:rPr>
      </w:pPr>
      <w:r w:rsidRPr="00CC37C0">
        <w:rPr>
          <w:rFonts w:ascii="Times New Roman" w:hAnsi="Times New Roman"/>
          <w:position w:val="-30"/>
        </w:rPr>
        <w:object w:dxaOrig="5140" w:dyaOrig="700">
          <v:shape id="_x0000_i1035" type="#_x0000_t75" style="width:258pt;height:35.45pt" o:ole="">
            <v:imagedata r:id="rId26" o:title=""/>
          </v:shape>
          <o:OLEObject Type="Embed" ProgID="Equation.3" ShapeID="_x0000_i1035" DrawAspect="Content" ObjectID="_1421133101" r:id="rId27"/>
        </w:object>
      </w:r>
      <w:r>
        <w:rPr>
          <w:rFonts w:ascii="Times New Roman" w:hAnsi="Times New Roman"/>
        </w:rPr>
        <w:t>(4)</w:t>
      </w:r>
    </w:p>
    <w:p w:rsidR="00E07C36" w:rsidRDefault="00E07C36" w:rsidP="00E07C36">
      <w:pPr>
        <w:tabs>
          <w:tab w:val="left" w:pos="907"/>
        </w:tabs>
        <w:spacing w:line="480" w:lineRule="auto"/>
        <w:rPr>
          <w:rFonts w:ascii="Times New Roman" w:hAnsi="Times New Roman"/>
        </w:rPr>
      </w:pPr>
    </w:p>
    <w:p w:rsidR="00E07C36" w:rsidRDefault="00E07C36" w:rsidP="00E07C36">
      <w:pPr>
        <w:tabs>
          <w:tab w:val="left" w:pos="907"/>
        </w:tabs>
        <w:spacing w:line="480" w:lineRule="auto"/>
        <w:rPr>
          <w:rFonts w:ascii="Times New Roman" w:hAnsi="Times New Roman"/>
        </w:rPr>
      </w:pPr>
      <w:r>
        <w:rPr>
          <w:rFonts w:ascii="Times New Roman" w:hAnsi="Times New Roman"/>
        </w:rPr>
        <w:t>For COPD, a hinge function was required to account for a change in trend in January of 2000, when COPD admission reached ‘saturation’. The model used for COPD (10</w:t>
      </w:r>
      <w:proofErr w:type="gramStart"/>
      <w:r>
        <w:rPr>
          <w:rFonts w:ascii="Times New Roman" w:hAnsi="Times New Roman"/>
        </w:rPr>
        <w:t>,1,0</w:t>
      </w:r>
      <w:proofErr w:type="gramEnd"/>
      <w:r>
        <w:rPr>
          <w:rFonts w:ascii="Times New Roman" w:hAnsi="Times New Roman"/>
        </w:rPr>
        <w:t>) is:</w:t>
      </w:r>
    </w:p>
    <w:p w:rsidR="00E07C36" w:rsidRDefault="00E07C36" w:rsidP="00E07C36">
      <w:pPr>
        <w:tabs>
          <w:tab w:val="left" w:pos="907"/>
        </w:tabs>
        <w:spacing w:line="480" w:lineRule="auto"/>
        <w:rPr>
          <w:rFonts w:ascii="Times New Roman" w:hAnsi="Times New Roman"/>
        </w:rPr>
      </w:pPr>
      <w:r w:rsidRPr="00CC37C0">
        <w:rPr>
          <w:rFonts w:ascii="Times New Roman" w:hAnsi="Times New Roman"/>
          <w:position w:val="-30"/>
        </w:rPr>
        <w:object w:dxaOrig="5760" w:dyaOrig="700">
          <v:shape id="_x0000_i1036" type="#_x0000_t75" style="width:288.55pt;height:35.45pt" o:ole="">
            <v:imagedata r:id="rId28" o:title=""/>
          </v:shape>
          <o:OLEObject Type="Embed" ProgID="Equation.3" ShapeID="_x0000_i1036" DrawAspect="Content" ObjectID="_1421133102" r:id="rId29"/>
        </w:object>
      </w:r>
      <w:r>
        <w:rPr>
          <w:rFonts w:ascii="Times New Roman" w:hAnsi="Times New Roman"/>
          <w:position w:val="-34"/>
        </w:rPr>
        <w:t>(5)</w:t>
      </w:r>
    </w:p>
    <w:p w:rsidR="00E07C36" w:rsidRDefault="00E07C36" w:rsidP="00E07C36">
      <w:pPr>
        <w:tabs>
          <w:tab w:val="left" w:pos="907"/>
        </w:tabs>
        <w:spacing w:line="480" w:lineRule="auto"/>
        <w:rPr>
          <w:rFonts w:ascii="Times New Roman" w:hAnsi="Times New Roman"/>
          <w:position w:val="-6"/>
        </w:rPr>
      </w:pPr>
      <w:r>
        <w:rPr>
          <w:rFonts w:ascii="Times New Roman" w:hAnsi="Times New Roman"/>
        </w:rPr>
        <w:t xml:space="preserve">In this equation, </w:t>
      </w:r>
      <w:r w:rsidRPr="00B747AE">
        <w:rPr>
          <w:rFonts w:ascii="Times New Roman" w:hAnsi="Times New Roman"/>
          <w:position w:val="-10"/>
        </w:rPr>
        <w:object w:dxaOrig="240" w:dyaOrig="260">
          <v:shape id="_x0000_i1037" type="#_x0000_t75" style="width:13.1pt;height:13.1pt" o:ole="">
            <v:imagedata r:id="rId30" o:title=""/>
          </v:shape>
          <o:OLEObject Type="Embed" ProgID="Equation.3" ShapeID="_x0000_i1037" DrawAspect="Content" ObjectID="_1421133103" r:id="rId31"/>
        </w:object>
      </w:r>
      <w:r>
        <w:rPr>
          <w:rFonts w:ascii="Times New Roman" w:hAnsi="Times New Roman"/>
          <w:position w:val="-6"/>
        </w:rPr>
        <w:t>is a count of months after the ‘hinge’ of January 2000 (pre-hinge months =0).</w:t>
      </w:r>
    </w:p>
    <w:p w:rsidR="00E07C36" w:rsidRDefault="00E07C36" w:rsidP="00E07C36">
      <w:pPr>
        <w:tabs>
          <w:tab w:val="left" w:pos="907"/>
        </w:tabs>
        <w:spacing w:line="480" w:lineRule="auto"/>
        <w:rPr>
          <w:rFonts w:ascii="Times New Roman" w:hAnsi="Times New Roman"/>
        </w:rPr>
      </w:pPr>
    </w:p>
    <w:p w:rsidR="00E07C36" w:rsidRDefault="00E07C36" w:rsidP="00E07C36">
      <w:pPr>
        <w:tabs>
          <w:tab w:val="left" w:pos="907"/>
        </w:tabs>
        <w:spacing w:line="480" w:lineRule="auto"/>
        <w:rPr>
          <w:rFonts w:ascii="Times New Roman" w:hAnsi="Times New Roman"/>
        </w:rPr>
      </w:pPr>
      <w:r>
        <w:rPr>
          <w:rFonts w:ascii="Times New Roman" w:hAnsi="Times New Roman"/>
        </w:rPr>
        <w:t xml:space="preserve">The mean, range, standard error and median of each time series were examined to determine the shape and spread of the monthly admission rates. </w:t>
      </w:r>
    </w:p>
    <w:p w:rsidR="00E07C36" w:rsidRDefault="00E07C36" w:rsidP="00E07C36">
      <w:pPr>
        <w:tabs>
          <w:tab w:val="left" w:pos="907"/>
        </w:tabs>
        <w:spacing w:line="480" w:lineRule="auto"/>
        <w:rPr>
          <w:rFonts w:ascii="Times New Roman" w:hAnsi="Times New Roman"/>
        </w:rPr>
      </w:pPr>
    </w:p>
    <w:p w:rsidR="00E07C36" w:rsidRDefault="00E07C36" w:rsidP="00E07C36">
      <w:pPr>
        <w:tabs>
          <w:tab w:val="left" w:pos="907"/>
        </w:tabs>
        <w:spacing w:line="480" w:lineRule="auto"/>
        <w:rPr>
          <w:rFonts w:ascii="Times New Roman" w:hAnsi="Times New Roman"/>
        </w:rPr>
      </w:pPr>
      <w:r>
        <w:rPr>
          <w:rFonts w:ascii="Times New Roman" w:hAnsi="Times New Roman"/>
        </w:rPr>
        <w:lastRenderedPageBreak/>
        <w:t>When the variance was more than twice the mean monthly admission rate of the time series, a natural logarithmic transformation of the admission rates was used to stabilize the variance so it was approximately equal throughout the time series. A square root transformation was attempted but did not result in an equal variance throughout the time series.</w:t>
      </w:r>
    </w:p>
    <w:p w:rsidR="00E07C36" w:rsidRDefault="00E07C36" w:rsidP="00E07C36">
      <w:pPr>
        <w:tabs>
          <w:tab w:val="left" w:pos="907"/>
        </w:tabs>
        <w:spacing w:line="480" w:lineRule="auto"/>
        <w:rPr>
          <w:rFonts w:ascii="Times New Roman" w:hAnsi="Times New Roman"/>
        </w:rPr>
      </w:pPr>
    </w:p>
    <w:p w:rsidR="00E07C36" w:rsidRDefault="00E07C36" w:rsidP="00E07C36">
      <w:pPr>
        <w:tabs>
          <w:tab w:val="left" w:pos="907"/>
        </w:tabs>
        <w:spacing w:line="480" w:lineRule="auto"/>
        <w:rPr>
          <w:rFonts w:ascii="Times New Roman" w:hAnsi="Times New Roman"/>
        </w:rPr>
      </w:pPr>
      <w:r>
        <w:rPr>
          <w:rFonts w:ascii="Times New Roman" w:hAnsi="Times New Roman"/>
        </w:rPr>
        <w:t xml:space="preserve"> The transformed (if appropriate) time series was graphed using both raw data and a first order of differencing to detect any </w:t>
      </w:r>
      <w:proofErr w:type="spellStart"/>
      <w:r>
        <w:rPr>
          <w:rFonts w:ascii="Times New Roman" w:hAnsi="Times New Roman"/>
        </w:rPr>
        <w:t>nonstationarity</w:t>
      </w:r>
      <w:proofErr w:type="spellEnd"/>
      <w:r>
        <w:rPr>
          <w:rFonts w:ascii="Times New Roman" w:hAnsi="Times New Roman"/>
        </w:rPr>
        <w:t xml:space="preserve"> that might be corrected with first-differencing. In addition, a linear regression of the monthly admission rate using Model 1 was performed to detect overall trends in monthly admission rates and to guide the selection of the integrated component.</w:t>
      </w:r>
    </w:p>
    <w:p w:rsidR="00E07C36" w:rsidRDefault="00E07C36" w:rsidP="00E07C36">
      <w:pPr>
        <w:tabs>
          <w:tab w:val="left" w:pos="907"/>
        </w:tabs>
        <w:spacing w:line="480" w:lineRule="auto"/>
        <w:rPr>
          <w:rFonts w:ascii="Times New Roman" w:hAnsi="Times New Roman"/>
        </w:rPr>
      </w:pPr>
    </w:p>
    <w:p w:rsidR="00E07C36" w:rsidRDefault="00E07C36" w:rsidP="00E07C36">
      <w:pPr>
        <w:tabs>
          <w:tab w:val="left" w:pos="907"/>
        </w:tabs>
        <w:spacing w:line="480" w:lineRule="auto"/>
        <w:rPr>
          <w:rFonts w:ascii="Times New Roman" w:hAnsi="Times New Roman"/>
        </w:rPr>
      </w:pPr>
      <w:r>
        <w:rPr>
          <w:rFonts w:ascii="Times New Roman" w:hAnsi="Times New Roman"/>
        </w:rPr>
        <w:t xml:space="preserve">Next, autocorrelation and partial autocorrelation analysis was conducted using the Portmanteau statistic and autocorrelation and partial autocorrelation graphs, in order to assist in determining the optimal number of autocorrelation and moving average parameters. The Augmented Dickey-Fuller (ADF) unit root test was used to detect the presence of a random walk. The ADF test assumes the null hypothesis of a unit root and the alternative of </w:t>
      </w:r>
      <w:proofErr w:type="spellStart"/>
      <w:r>
        <w:rPr>
          <w:rFonts w:ascii="Times New Roman" w:hAnsi="Times New Roman"/>
        </w:rPr>
        <w:t>stationarity</w:t>
      </w:r>
      <w:proofErr w:type="spellEnd"/>
      <w:r>
        <w:rPr>
          <w:rFonts w:ascii="Times New Roman" w:hAnsi="Times New Roman"/>
        </w:rPr>
        <w:t xml:space="preserve">. The Durbin-Watson statistic and Durbin’s alternative test for autocorrelation were also used to confirm process </w:t>
      </w:r>
      <w:proofErr w:type="spellStart"/>
      <w:r>
        <w:rPr>
          <w:rFonts w:ascii="Times New Roman" w:hAnsi="Times New Roman"/>
        </w:rPr>
        <w:t>stationarity</w:t>
      </w:r>
      <w:proofErr w:type="spellEnd"/>
      <w:r>
        <w:rPr>
          <w:rFonts w:ascii="Times New Roman" w:hAnsi="Times New Roman"/>
        </w:rPr>
        <w:t xml:space="preserve"> and to detect autocorrelation. A variable selection process was used to obtain the </w:t>
      </w:r>
      <w:r>
        <w:rPr>
          <w:rFonts w:ascii="Times New Roman" w:hAnsi="Times New Roman"/>
        </w:rPr>
        <w:lastRenderedPageBreak/>
        <w:t xml:space="preserve">highest significant (P&lt;0.05) autocorrelation lag prior to modeling the time series using </w:t>
      </w:r>
      <w:proofErr w:type="spellStart"/>
      <w:r>
        <w:rPr>
          <w:rFonts w:ascii="Times New Roman" w:hAnsi="Times New Roman"/>
        </w:rPr>
        <w:t>Akaike’s</w:t>
      </w:r>
      <w:proofErr w:type="spellEnd"/>
      <w:r>
        <w:rPr>
          <w:rFonts w:ascii="Times New Roman" w:hAnsi="Times New Roman"/>
        </w:rPr>
        <w:t xml:space="preserve"> Information Criterion (AIC) for a series of </w:t>
      </w:r>
      <w:proofErr w:type="spellStart"/>
      <w:r>
        <w:rPr>
          <w:rFonts w:ascii="Times New Roman" w:hAnsi="Times New Roman"/>
        </w:rPr>
        <w:t>autoregression</w:t>
      </w:r>
      <w:proofErr w:type="spellEnd"/>
      <w:r>
        <w:rPr>
          <w:rFonts w:ascii="Times New Roman" w:hAnsi="Times New Roman"/>
        </w:rPr>
        <w:t xml:space="preserve"> to the maximum lag of 15. Selection of the moving average criteria was guided by a visual examination of moving average plots with a smoother of 2, with higher order smoothers applied if the smoother of 2 improved the fit of the time series.</w:t>
      </w:r>
    </w:p>
    <w:p w:rsidR="00E07C36" w:rsidRDefault="00E07C36" w:rsidP="00E07C36">
      <w:pPr>
        <w:tabs>
          <w:tab w:val="left" w:pos="907"/>
        </w:tabs>
        <w:spacing w:line="480" w:lineRule="auto"/>
        <w:rPr>
          <w:rFonts w:ascii="Times New Roman" w:hAnsi="Times New Roman"/>
        </w:rPr>
      </w:pPr>
    </w:p>
    <w:p w:rsidR="00E07C36" w:rsidRDefault="00E07C36" w:rsidP="00E07C36">
      <w:pPr>
        <w:tabs>
          <w:tab w:val="left" w:pos="907"/>
        </w:tabs>
        <w:spacing w:line="480" w:lineRule="auto"/>
        <w:rPr>
          <w:rFonts w:ascii="Times New Roman" w:hAnsi="Times New Roman"/>
        </w:rPr>
      </w:pPr>
      <w:r>
        <w:rPr>
          <w:rFonts w:ascii="Times New Roman" w:hAnsi="Times New Roman"/>
        </w:rPr>
        <w:t xml:space="preserve">The initial ARIMA model used the information gathered about the initial </w:t>
      </w:r>
      <w:r w:rsidRPr="00763B63">
        <w:rPr>
          <w:rFonts w:ascii="Times New Roman" w:hAnsi="Times New Roman"/>
        </w:rPr>
        <w:t>p, d and q</w:t>
      </w:r>
      <w:r>
        <w:rPr>
          <w:rFonts w:ascii="Times New Roman" w:hAnsi="Times New Roman"/>
        </w:rPr>
        <w:t xml:space="preserve"> parameters for the model. From there, the series AIC, Portmanteau’s test for white noise and a visual examination of the autocorrelation and/or partial autocorrelation and residual plots were used to guide the final selection of the best fitting model. Values above and below the initial ARIMA model parameters were tested to see if they lowered the series AIC. The final model used was the model with the lowest AIC, a non-significant (P&gt;0.05) Portmanteau’s test for white noise and autocorrelation and/or partial autocorrelation and residual plots within or very close to the 95% reference lines on the plots.</w:t>
      </w:r>
    </w:p>
    <w:p w:rsidR="00E07C36" w:rsidRDefault="00E07C36" w:rsidP="00E07C36">
      <w:pPr>
        <w:tabs>
          <w:tab w:val="left" w:pos="907"/>
        </w:tabs>
        <w:spacing w:line="480" w:lineRule="auto"/>
        <w:rPr>
          <w:rFonts w:ascii="Times New Roman" w:hAnsi="Times New Roman"/>
        </w:rPr>
      </w:pPr>
    </w:p>
    <w:p w:rsidR="00E07C36" w:rsidRDefault="00E07C36" w:rsidP="00E07C36">
      <w:pPr>
        <w:tabs>
          <w:tab w:val="left" w:pos="907"/>
        </w:tabs>
        <w:spacing w:line="480" w:lineRule="auto"/>
        <w:rPr>
          <w:rFonts w:ascii="Times New Roman" w:hAnsi="Times New Roman"/>
        </w:rPr>
      </w:pPr>
      <w:r>
        <w:rPr>
          <w:rFonts w:ascii="Times New Roman" w:hAnsi="Times New Roman"/>
        </w:rPr>
        <w:t xml:space="preserve">Because of the nature of respiratory conditions and the apparent seasonal variation seen in the monthly time series graphs, monthly (S=12) seasonal multiplicative ARIMA </w:t>
      </w:r>
      <w:r w:rsidRPr="00CA144C">
        <w:rPr>
          <w:rFonts w:ascii="Times New Roman" w:hAnsi="Times New Roman"/>
        </w:rPr>
        <w:t>(</w:t>
      </w:r>
      <w:proofErr w:type="spellStart"/>
      <w:r w:rsidRPr="00CA144C">
        <w:rPr>
          <w:rFonts w:ascii="Times New Roman" w:hAnsi="Times New Roman"/>
        </w:rPr>
        <w:t>p</w:t>
      </w:r>
      <w:proofErr w:type="gramStart"/>
      <w:r w:rsidRPr="00763B63">
        <w:rPr>
          <w:rFonts w:ascii="Times New Roman" w:hAnsi="Times New Roman"/>
        </w:rPr>
        <w:t>,d,q</w:t>
      </w:r>
      <w:proofErr w:type="spellEnd"/>
      <w:proofErr w:type="gramEnd"/>
      <w:r w:rsidRPr="00763B63">
        <w:rPr>
          <w:rFonts w:ascii="Times New Roman" w:hAnsi="Times New Roman"/>
        </w:rPr>
        <w:t>) (P,D,Q,S)</w:t>
      </w:r>
      <w:r>
        <w:rPr>
          <w:rFonts w:ascii="Times New Roman" w:hAnsi="Times New Roman"/>
        </w:rPr>
        <w:t xml:space="preserve"> models were considered using the same process as above. These can be defined as:</w:t>
      </w:r>
    </w:p>
    <w:p w:rsidR="00E07C36" w:rsidRDefault="00E07C36" w:rsidP="00E07C36">
      <w:pPr>
        <w:tabs>
          <w:tab w:val="left" w:pos="907"/>
        </w:tabs>
        <w:spacing w:line="480" w:lineRule="auto"/>
        <w:rPr>
          <w:rFonts w:ascii="Times New Roman" w:hAnsi="Times New Roman"/>
        </w:rPr>
      </w:pPr>
      <w:r w:rsidRPr="00CC37C0">
        <w:rPr>
          <w:rFonts w:ascii="Times New Roman" w:hAnsi="Times New Roman"/>
          <w:position w:val="-30"/>
        </w:rPr>
        <w:object w:dxaOrig="7479" w:dyaOrig="700">
          <v:shape id="_x0000_i1038" type="#_x0000_t75" style="width:374.2pt;height:36pt" o:ole="">
            <v:imagedata r:id="rId32" o:title=""/>
          </v:shape>
          <o:OLEObject Type="Embed" ProgID="Equation.3" ShapeID="_x0000_i1038" DrawAspect="Content" ObjectID="_1421133104" r:id="rId33"/>
        </w:object>
      </w:r>
      <w:r>
        <w:rPr>
          <w:rFonts w:ascii="Times New Roman" w:hAnsi="Times New Roman"/>
        </w:rPr>
        <w:t xml:space="preserve"> (6)</w:t>
      </w:r>
    </w:p>
    <w:p w:rsidR="00E07C36" w:rsidRDefault="00E07C36" w:rsidP="00E07C36">
      <w:pPr>
        <w:tabs>
          <w:tab w:val="left" w:pos="907"/>
        </w:tabs>
        <w:spacing w:line="480" w:lineRule="auto"/>
      </w:pPr>
      <w:r w:rsidRPr="00E85EF4">
        <w:rPr>
          <w:position w:val="-10"/>
        </w:rPr>
        <w:object w:dxaOrig="360" w:dyaOrig="340">
          <v:shape id="_x0000_i1039" type="#_x0000_t75" style="width:18.55pt;height:16.35pt" o:ole="">
            <v:imagedata r:id="rId34" o:title=""/>
          </v:shape>
          <o:OLEObject Type="Embed" ProgID="Equation.3" ShapeID="_x0000_i1039" DrawAspect="Content" ObjectID="_1421133105" r:id="rId35"/>
        </w:object>
      </w:r>
      <w:proofErr w:type="gramStart"/>
      <w:r>
        <w:t>is</w:t>
      </w:r>
      <w:proofErr w:type="gramEnd"/>
      <w:r>
        <w:t xml:space="preserve"> to seasonally difference the monthly time series and </w:t>
      </w:r>
      <w:r w:rsidRPr="00CC37C0">
        <w:rPr>
          <w:position w:val="-28"/>
        </w:rPr>
        <w:object w:dxaOrig="1160" w:dyaOrig="680">
          <v:shape id="_x0000_i1040" type="#_x0000_t75" style="width:57.8pt;height:34.9pt" o:ole="">
            <v:imagedata r:id="rId36" o:title=""/>
          </v:shape>
          <o:OLEObject Type="Embed" ProgID="Equation.3" ShapeID="_x0000_i1040" DrawAspect="Content" ObjectID="_1421133106" r:id="rId37"/>
        </w:object>
      </w:r>
      <w:r>
        <w:t>is the sum of the seasonal autoregressive components to lag P. Where natural logarithmic transformations were required, this can be represented as:</w:t>
      </w:r>
    </w:p>
    <w:p w:rsidR="00E07C36" w:rsidRDefault="00E07C36" w:rsidP="00E07C36">
      <w:pPr>
        <w:tabs>
          <w:tab w:val="left" w:pos="907"/>
        </w:tabs>
        <w:spacing w:line="480" w:lineRule="auto"/>
      </w:pPr>
      <w:r w:rsidRPr="00CC37C0">
        <w:rPr>
          <w:rFonts w:ascii="Times New Roman" w:hAnsi="Times New Roman"/>
          <w:position w:val="-30"/>
        </w:rPr>
        <w:object w:dxaOrig="8280" w:dyaOrig="700">
          <v:shape id="_x0000_i1041" type="#_x0000_t75" style="width:415.1pt;height:36pt" o:ole="">
            <v:imagedata r:id="rId38" o:title=""/>
          </v:shape>
          <o:OLEObject Type="Embed" ProgID="Equation.3" ShapeID="_x0000_i1041" DrawAspect="Content" ObjectID="_1421133107" r:id="rId39"/>
        </w:object>
      </w:r>
      <w:r>
        <w:rPr>
          <w:rFonts w:ascii="Times New Roman" w:hAnsi="Times New Roman"/>
          <w:position w:val="-34"/>
        </w:rPr>
        <w:t xml:space="preserve"> (7)</w:t>
      </w:r>
    </w:p>
    <w:p w:rsidR="00E07C36" w:rsidRDefault="00E07C36" w:rsidP="00E07C36">
      <w:pPr>
        <w:spacing w:line="480" w:lineRule="auto"/>
      </w:pPr>
      <w:r>
        <w:t>In completing the age subgroup analyses, small numbers and changes in correlation patterns required the use of different ARIMA (</w:t>
      </w:r>
      <w:proofErr w:type="spellStart"/>
      <w:r>
        <w:t>p,d,q</w:t>
      </w:r>
      <w:proofErr w:type="spellEnd"/>
      <w:r>
        <w:t xml:space="preserve">) models for both age groups for angina (8,1,0) and for the 35 to 64 year olds for COPD (11,1,0). These models were used to achieve a non-significant white noise test, a lower AIC and reduce significant residuals. </w:t>
      </w:r>
    </w:p>
    <w:p w:rsidR="00E07C36" w:rsidRPr="00487B88" w:rsidRDefault="00E07C36" w:rsidP="00E07C36"/>
    <w:p w:rsidR="00E07C36" w:rsidRDefault="00E07C36" w:rsidP="00E07C36"/>
    <w:p w:rsidR="00E07C36" w:rsidRDefault="00E07C36" w:rsidP="00E07C36">
      <w:pPr>
        <w:spacing w:line="480" w:lineRule="auto"/>
      </w:pPr>
      <w:r>
        <w:t>The percent change in admission rates resulting from the ban was calculated using the average monthly pre-ban admission rate and calculating the percent effect of the ban (8) when significant changes in study condition admission rates were found.</w:t>
      </w:r>
      <w:r w:rsidRPr="00854654">
        <w:rPr>
          <w:position w:val="-32"/>
        </w:rPr>
        <w:object w:dxaOrig="2920" w:dyaOrig="740">
          <v:shape id="_x0000_i1042" type="#_x0000_t75" style="width:146.2pt;height:38.2pt" o:ole="">
            <v:imagedata r:id="rId40" o:title=""/>
          </v:shape>
          <o:OLEObject Type="Embed" ProgID="Equation.3" ShapeID="_x0000_i1042" DrawAspect="Content" ObjectID="_1421133108" r:id="rId41"/>
        </w:object>
      </w:r>
      <w:r>
        <w:t>(8)</w:t>
      </w:r>
    </w:p>
    <w:p w:rsidR="00E07C36" w:rsidRDefault="00E07C36" w:rsidP="00E07C36"/>
    <w:p w:rsidR="00E07C36" w:rsidRDefault="00EA65D7" w:rsidP="00E07C36">
      <w:r>
        <w:t>References</w:t>
      </w:r>
    </w:p>
    <w:p w:rsidR="00EA65D7" w:rsidRDefault="00EA65D7" w:rsidP="00EA65D7">
      <w:pPr>
        <w:pStyle w:val="Bibliography"/>
      </w:pPr>
      <w:r>
        <w:t>1</w:t>
      </w:r>
      <w:r w:rsidRPr="00D2568D">
        <w:t xml:space="preserve">. </w:t>
      </w:r>
      <w:r w:rsidRPr="00D2568D">
        <w:tab/>
        <w:t xml:space="preserve">Stata Corp LP (2007) Stata Release 10 Time Series. College Stations, TX 77845 USA: Stata Press. </w:t>
      </w:r>
      <w:r>
        <w:t>448</w:t>
      </w:r>
      <w:r w:rsidRPr="00D2568D">
        <w:t>p.</w:t>
      </w:r>
    </w:p>
    <w:p w:rsidR="00EA65D7" w:rsidRPr="00487B88" w:rsidRDefault="00EA65D7" w:rsidP="00E07C36"/>
    <w:p w:rsidR="000E3196" w:rsidRDefault="000E3196"/>
    <w:sectPr w:rsidR="000E3196" w:rsidSect="00111B61">
      <w:footerReference w:type="default" r:id="rId42"/>
      <w:pgSz w:w="12240" w:h="15840"/>
      <w:pgMar w:top="1440" w:right="1440" w:bottom="1440" w:left="1440"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56" w:rsidRDefault="009C5C56" w:rsidP="00877B5D">
      <w:r>
        <w:separator/>
      </w:r>
    </w:p>
  </w:endnote>
  <w:endnote w:type="continuationSeparator" w:id="0">
    <w:p w:rsidR="009C5C56" w:rsidRDefault="009C5C56" w:rsidP="00877B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1782"/>
      <w:docPartObj>
        <w:docPartGallery w:val="Page Numbers (Bottom of Page)"/>
        <w:docPartUnique/>
      </w:docPartObj>
    </w:sdtPr>
    <w:sdtContent>
      <w:p w:rsidR="00F71E7E" w:rsidRDefault="00877B5D">
        <w:pPr>
          <w:pStyle w:val="Footer"/>
          <w:jc w:val="center"/>
        </w:pPr>
        <w:r>
          <w:fldChar w:fldCharType="begin"/>
        </w:r>
        <w:r w:rsidR="00E07C36">
          <w:instrText xml:space="preserve"> PAGE   \* MERGEFORMAT </w:instrText>
        </w:r>
        <w:r>
          <w:fldChar w:fldCharType="separate"/>
        </w:r>
        <w:r w:rsidR="00DF7B03">
          <w:rPr>
            <w:noProof/>
          </w:rPr>
          <w:t>1</w:t>
        </w:r>
        <w:r>
          <w:fldChar w:fldCharType="end"/>
        </w:r>
      </w:p>
    </w:sdtContent>
  </w:sdt>
  <w:p w:rsidR="00F71E7E" w:rsidRDefault="009C5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56" w:rsidRDefault="009C5C56" w:rsidP="00877B5D">
      <w:r>
        <w:separator/>
      </w:r>
    </w:p>
  </w:footnote>
  <w:footnote w:type="continuationSeparator" w:id="0">
    <w:p w:rsidR="009C5C56" w:rsidRDefault="009C5C56" w:rsidP="00877B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E07C36"/>
    <w:rsid w:val="000E3196"/>
    <w:rsid w:val="00877B5D"/>
    <w:rsid w:val="009C5C56"/>
    <w:rsid w:val="00A60F4A"/>
    <w:rsid w:val="00A62498"/>
    <w:rsid w:val="00DF7B03"/>
    <w:rsid w:val="00E07C36"/>
    <w:rsid w:val="00EA65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36"/>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7C36"/>
    <w:pPr>
      <w:tabs>
        <w:tab w:val="center" w:pos="4320"/>
        <w:tab w:val="right" w:pos="8640"/>
      </w:tabs>
    </w:pPr>
  </w:style>
  <w:style w:type="character" w:customStyle="1" w:styleId="FooterChar">
    <w:name w:val="Footer Char"/>
    <w:basedOn w:val="DefaultParagraphFont"/>
    <w:link w:val="Footer"/>
    <w:uiPriority w:val="99"/>
    <w:rsid w:val="00E07C36"/>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E07C36"/>
    <w:rPr>
      <w:rFonts w:ascii="Tahoma" w:hAnsi="Tahoma" w:cs="Tahoma"/>
      <w:sz w:val="16"/>
      <w:szCs w:val="16"/>
    </w:rPr>
  </w:style>
  <w:style w:type="character" w:customStyle="1" w:styleId="BalloonTextChar">
    <w:name w:val="Balloon Text Char"/>
    <w:basedOn w:val="DefaultParagraphFont"/>
    <w:link w:val="BalloonText"/>
    <w:uiPriority w:val="99"/>
    <w:semiHidden/>
    <w:rsid w:val="00E07C36"/>
    <w:rPr>
      <w:rFonts w:ascii="Tahoma" w:eastAsia="MS Mincho" w:hAnsi="Tahoma" w:cs="Tahoma"/>
      <w:sz w:val="16"/>
      <w:szCs w:val="16"/>
    </w:rPr>
  </w:style>
  <w:style w:type="paragraph" w:styleId="Bibliography">
    <w:name w:val="Bibliography"/>
    <w:basedOn w:val="Normal"/>
    <w:next w:val="Normal"/>
    <w:uiPriority w:val="37"/>
    <w:semiHidden/>
    <w:unhideWhenUsed/>
    <w:rsid w:val="00EA65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944</Words>
  <Characters>5385</Characters>
  <Application>Microsoft Office Word</Application>
  <DocSecurity>0</DocSecurity>
  <Lines>44</Lines>
  <Paragraphs>12</Paragraphs>
  <ScaleCrop>false</ScaleCrop>
  <Company>PEI, Department of Health and Social Services</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cmcclure</dc:creator>
  <cp:lastModifiedBy>Carol McClure</cp:lastModifiedBy>
  <cp:revision>2</cp:revision>
  <dcterms:created xsi:type="dcterms:W3CDTF">2013-01-31T14:24:00Z</dcterms:created>
  <dcterms:modified xsi:type="dcterms:W3CDTF">2013-01-31T14:24:00Z</dcterms:modified>
</cp:coreProperties>
</file>