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8" w:rsidRPr="006E1D18" w:rsidRDefault="000E7FD8" w:rsidP="000E7FD8">
      <w:pPr>
        <w:spacing w:line="48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>T</w:t>
      </w:r>
      <w:r w:rsidRPr="006E1D18">
        <w:rPr>
          <w:rFonts w:ascii="Arial" w:eastAsia="SimSun" w:hAnsi="Arial" w:cs="Arial"/>
          <w:sz w:val="24"/>
          <w:szCs w:val="24"/>
          <w:lang w:val="en-US" w:eastAsia="zh-CN"/>
        </w:rPr>
        <w:t xml:space="preserve">able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S</w:t>
      </w:r>
      <w:r w:rsidRPr="006E1D18">
        <w:rPr>
          <w:rFonts w:ascii="Arial" w:eastAsia="SimSun" w:hAnsi="Arial" w:cs="Arial"/>
          <w:sz w:val="24"/>
          <w:szCs w:val="24"/>
          <w:lang w:val="en-US" w:eastAsia="zh-CN"/>
        </w:rPr>
        <w:t xml:space="preserve">4. Estimates of number of </w:t>
      </w:r>
      <w:proofErr w:type="spellStart"/>
      <w:r w:rsidR="002C6BF5">
        <w:rPr>
          <w:rFonts w:ascii="Arial" w:eastAsia="SimSun" w:hAnsi="Arial" w:cs="Arial"/>
          <w:sz w:val="24"/>
          <w:szCs w:val="24"/>
          <w:lang w:val="en-US" w:eastAsia="zh-CN"/>
        </w:rPr>
        <w:t>victimisation</w:t>
      </w:r>
      <w:proofErr w:type="spellEnd"/>
      <w:r w:rsidR="002C6BF5">
        <w:rPr>
          <w:rFonts w:ascii="Arial" w:eastAsia="SimSun" w:hAnsi="Arial" w:cs="Arial"/>
          <w:sz w:val="24"/>
          <w:szCs w:val="24"/>
          <w:lang w:val="en-US" w:eastAsia="zh-CN"/>
        </w:rPr>
        <w:t xml:space="preserve"> incidents</w:t>
      </w:r>
      <w:r w:rsidRPr="006E1D18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2C6BF5">
        <w:rPr>
          <w:rFonts w:ascii="Arial" w:eastAsia="SimSun" w:hAnsi="Arial" w:cs="Arial"/>
          <w:sz w:val="24"/>
          <w:szCs w:val="24"/>
          <w:lang w:val="en-US" w:eastAsia="zh-CN"/>
        </w:rPr>
        <w:t xml:space="preserve">experienced </w:t>
      </w:r>
      <w:r w:rsidRPr="006E1D18">
        <w:rPr>
          <w:rFonts w:ascii="Arial" w:eastAsia="SimSun" w:hAnsi="Arial" w:cs="Arial"/>
          <w:sz w:val="24"/>
          <w:szCs w:val="24"/>
          <w:lang w:val="en-US" w:eastAsia="zh-CN"/>
        </w:rPr>
        <w:t>and associated cost, by disability</w:t>
      </w:r>
    </w:p>
    <w:tbl>
      <w:tblPr>
        <w:tblW w:w="14459" w:type="dxa"/>
        <w:tblInd w:w="-601" w:type="dxa"/>
        <w:tblLook w:val="04A0" w:firstRow="1" w:lastRow="0" w:firstColumn="1" w:lastColumn="0" w:noHBand="0" w:noVBand="1"/>
      </w:tblPr>
      <w:tblGrid>
        <w:gridCol w:w="2517"/>
        <w:gridCol w:w="2587"/>
        <w:gridCol w:w="2126"/>
        <w:gridCol w:w="2268"/>
        <w:gridCol w:w="1417"/>
        <w:gridCol w:w="1701"/>
        <w:gridCol w:w="1843"/>
      </w:tblGrid>
      <w:tr w:rsidR="000E7FD8" w:rsidRPr="006E1D18" w:rsidTr="008C0382">
        <w:trPr>
          <w:trHeight w:val="589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2C6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Estimated N </w:t>
            </w:r>
            <w:r w:rsidR="002C6B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incidents</w:t>
            </w:r>
            <w:r w:rsidRPr="006E1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in E&amp;W in 2009 (1000s) </w:t>
            </w:r>
            <w:r w:rsidRPr="006E1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Estimated total cost in £billions (range)</w:t>
            </w:r>
            <w:r w:rsidRPr="006E1D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0E7FD8" w:rsidRPr="006E1D18" w:rsidTr="008C0382">
        <w:trPr>
          <w:trHeight w:val="288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2C6BF5" w:rsidP="008C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INCIDENT</w:t>
            </w:r>
            <w:r w:rsidR="000E7FD8" w:rsidRPr="006E1D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TYPE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Non-disabled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Non-mental disability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Mental illness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Non-disabled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Non-mental disability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Mental illness</w:t>
            </w:r>
          </w:p>
        </w:tc>
      </w:tr>
      <w:tr w:rsidR="000E7FD8" w:rsidRPr="006E1D18" w:rsidTr="008C0382">
        <w:trPr>
          <w:trHeight w:val="288"/>
        </w:trPr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Serious wounding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91.5 (60.7-122.3)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16.9 (2.6-31.3)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11.5 (1.9-21.1)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 (1.6-3.1)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 (0.1-0.8)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 (0.0-0.5)</w:t>
            </w:r>
          </w:p>
        </w:tc>
      </w:tr>
      <w:tr w:rsidR="000E7FD8" w:rsidRPr="006E1D18" w:rsidTr="008C0382">
        <w:trPr>
          <w:trHeight w:val="288"/>
        </w:trPr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wounding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336.8 (250.2-423.4)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28.9 (8.1-49.8)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26.1 (10.7-41.5)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 (2.4-4.1)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 (0.1-0.5)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 (0.1-0.4)</w:t>
            </w:r>
          </w:p>
        </w:tc>
      </w:tr>
      <w:tr w:rsidR="000E7FD8" w:rsidRPr="006E1D18" w:rsidTr="008C0382">
        <w:trPr>
          <w:trHeight w:val="288"/>
        </w:trPr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Common assault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1128.1 (1003.2-1253.1)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139.3 (99.1-179.5)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60.7 (34.6-86.8)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 (1.8-2.2)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 (0.2-0.3)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 (0.1-0.2)</w:t>
            </w:r>
          </w:p>
        </w:tc>
      </w:tr>
      <w:tr w:rsidR="000E7FD8" w:rsidRPr="006E1D18" w:rsidTr="008C0382">
        <w:trPr>
          <w:trHeight w:val="288"/>
        </w:trPr>
        <w:tc>
          <w:tcPr>
            <w:tcW w:w="2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Robbery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348.1 (271.1-425.1)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41.5 (26.5-56.4)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29.7 (11.9-47.5)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 (2.4-3.7)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 (0.2-0.5)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 (0.1-0.4)</w:t>
            </w:r>
          </w:p>
        </w:tc>
      </w:tr>
      <w:tr w:rsidR="000E7FD8" w:rsidRPr="006E1D18" w:rsidTr="008C0382">
        <w:trPr>
          <w:trHeight w:val="391"/>
        </w:trPr>
        <w:tc>
          <w:tcPr>
            <w:tcW w:w="25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Sexual offences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70.1 (29.9-110.3)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8.7 (-1.6-19.1)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 (0.8-17.7)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 (1.1-4.1)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 (-0.1-0.7)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 (0.0-0.7)</w:t>
            </w:r>
          </w:p>
        </w:tc>
      </w:tr>
      <w:tr w:rsidR="000E7FD8" w:rsidRPr="006E1D18" w:rsidTr="008C0382">
        <w:trPr>
          <w:trHeight w:val="394"/>
        </w:trPr>
        <w:tc>
          <w:tcPr>
            <w:tcW w:w="25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1974.7 (1615.2-2334.2)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235.3 (134.7-336.0)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137.3 (60.0-214.5)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13.3 (9.3-17.3)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1.7 (0.5-2.8) </w:t>
            </w: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7FD8" w:rsidRPr="006E1D18" w:rsidRDefault="000E7FD8" w:rsidP="008C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1.3 (0.4-2.2) </w:t>
            </w:r>
            <w:r w:rsidRPr="006E1D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</w:tbl>
    <w:p w:rsidR="000E7FD8" w:rsidRPr="006E1D18" w:rsidRDefault="000E7FD8" w:rsidP="000E7FD8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SimSun" w:hAnsi="Calibri" w:cs="Calibri"/>
          <w:sz w:val="20"/>
          <w:szCs w:val="20"/>
          <w:lang w:val="en-US" w:eastAsia="zh-CN"/>
        </w:rPr>
      </w:pP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BCS </w:t>
      </w:r>
      <w:r w:rsidR="002C6BF5">
        <w:rPr>
          <w:rFonts w:ascii="Calibri" w:eastAsia="SimSun" w:hAnsi="Calibri" w:cs="Calibri"/>
          <w:sz w:val="20"/>
          <w:szCs w:val="20"/>
          <w:lang w:val="en-US" w:eastAsia="zh-CN"/>
        </w:rPr>
        <w:t xml:space="preserve">incident </w:t>
      </w: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 counts, weighted by population weights provided by the Home Office </w:t>
      </w:r>
    </w:p>
    <w:p w:rsidR="000E7FD8" w:rsidRPr="006E1D18" w:rsidRDefault="000E7FD8" w:rsidP="000E7FD8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SimSun" w:hAnsi="Calibri" w:cs="Calibri"/>
          <w:sz w:val="20"/>
          <w:szCs w:val="20"/>
          <w:lang w:val="en-US" w:eastAsia="zh-CN"/>
        </w:rPr>
      </w:pP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Range based on uncertainty of </w:t>
      </w:r>
      <w:r w:rsidR="002C6BF5">
        <w:rPr>
          <w:rFonts w:ascii="Calibri" w:eastAsia="SimSun" w:hAnsi="Calibri" w:cs="Calibri"/>
          <w:sz w:val="20"/>
          <w:szCs w:val="20"/>
          <w:lang w:val="en-US" w:eastAsia="zh-CN"/>
        </w:rPr>
        <w:t>incident</w:t>
      </w: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 count estimates.  No confidence intervals were provided with the unit costs and could not be obtained by the authors, so cost uncertainty is not included</w:t>
      </w:r>
    </w:p>
    <w:p w:rsidR="000E7FD8" w:rsidRPr="00CD2DBC" w:rsidRDefault="000E7FD8" w:rsidP="000E7FD8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eastAsia="SimSun" w:hAnsi="Calibri" w:cs="Calibri"/>
          <w:sz w:val="20"/>
          <w:szCs w:val="20"/>
          <w:lang w:val="en-US" w:eastAsia="zh-CN"/>
        </w:rPr>
        <w:sectPr w:rsidR="000E7FD8" w:rsidRPr="00CD2DBC" w:rsidSect="006E1D1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The estimated total cost in those with disability was £2.91 billion.  The disability-related PAF for actual violence among those with disability was </w:t>
      </w:r>
      <w:r w:rsidRPr="006E1D18">
        <w:rPr>
          <w:rFonts w:ascii="Calibri" w:eastAsia="SimSun" w:hAnsi="Calibri" w:cs="Calibri"/>
          <w:sz w:val="20"/>
          <w:szCs w:val="20"/>
          <w:lang w:eastAsia="zh-CN"/>
        </w:rPr>
        <w:t>51.8% (table 3)</w:t>
      </w:r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 xml:space="preserve">.  </w:t>
      </w:r>
      <w:bookmarkStart w:id="0" w:name="_GoBack"/>
      <w:bookmarkEnd w:id="0"/>
      <w:r w:rsidRPr="006E1D18">
        <w:rPr>
          <w:rFonts w:ascii="Calibri" w:eastAsia="SimSun" w:hAnsi="Calibri" w:cs="Calibri"/>
          <w:sz w:val="20"/>
          <w:szCs w:val="20"/>
          <w:lang w:val="en-US" w:eastAsia="zh-CN"/>
        </w:rPr>
        <w:t>We therefore estimated the disability-associated excess risk as= £2.9</w:t>
      </w:r>
      <w:r>
        <w:rPr>
          <w:rFonts w:ascii="Calibri" w:eastAsia="SimSun" w:hAnsi="Calibri" w:cs="Calibri"/>
          <w:sz w:val="20"/>
          <w:szCs w:val="20"/>
          <w:lang w:val="en-US" w:eastAsia="zh-CN"/>
        </w:rPr>
        <w:t>1 billion * 0.518=£1.51 billion</w:t>
      </w:r>
    </w:p>
    <w:p w:rsidR="002B3ED6" w:rsidRPr="000E7FD8" w:rsidRDefault="002B3ED6">
      <w:pPr>
        <w:rPr>
          <w:lang w:val="en-US"/>
        </w:rPr>
      </w:pPr>
    </w:p>
    <w:sectPr w:rsidR="002B3ED6" w:rsidRPr="000E7FD8" w:rsidSect="000E7F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B29"/>
    <w:multiLevelType w:val="hybridMultilevel"/>
    <w:tmpl w:val="E14E0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D8"/>
    <w:rsid w:val="000E7FD8"/>
    <w:rsid w:val="002B3ED6"/>
    <w:rsid w:val="002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44E22DAC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Systems, UCL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Khalifeh</dc:creator>
  <cp:keywords/>
  <dc:description/>
  <cp:lastModifiedBy>Hind Khalifeh</cp:lastModifiedBy>
  <cp:revision>2</cp:revision>
  <dcterms:created xsi:type="dcterms:W3CDTF">2013-01-14T10:32:00Z</dcterms:created>
  <dcterms:modified xsi:type="dcterms:W3CDTF">2013-01-14T11:09:00Z</dcterms:modified>
</cp:coreProperties>
</file>