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1" w:rsidRPr="00B6040E" w:rsidRDefault="00D32EB1" w:rsidP="00D32EB1">
      <w:pPr>
        <w:ind w:right="940"/>
        <w:rPr>
          <w:rFonts w:ascii="Times New Roman" w:hAnsi="Times New Roman"/>
        </w:rPr>
      </w:pPr>
      <w:r w:rsidRPr="00B6040E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S4</w:t>
      </w:r>
      <w:r w:rsidRPr="00B6040E">
        <w:rPr>
          <w:rFonts w:ascii="Times New Roman" w:hAnsi="Times New Roman"/>
          <w:b/>
        </w:rPr>
        <w:t>.</w:t>
      </w:r>
      <w:r w:rsidRPr="00B6040E">
        <w:rPr>
          <w:rFonts w:ascii="Times New Roman" w:hAnsi="Times New Roman"/>
        </w:rPr>
        <w:t xml:space="preserve"> Diagnostic accuracy measures for </w:t>
      </w:r>
      <w:r>
        <w:rPr>
          <w:rFonts w:ascii="Times New Roman" w:hAnsi="Times New Roman"/>
        </w:rPr>
        <w:t>set of clinical predictors</w:t>
      </w:r>
      <w:r w:rsidRPr="00B6040E">
        <w:rPr>
          <w:rFonts w:ascii="Times New Roman" w:hAnsi="Times New Roman"/>
        </w:rPr>
        <w:t xml:space="preserve"> (using thr</w:t>
      </w:r>
      <w:r>
        <w:rPr>
          <w:rFonts w:ascii="Times New Roman" w:hAnsi="Times New Roman"/>
        </w:rPr>
        <w:t xml:space="preserve">ee ROC-selected cut-points), </w:t>
      </w:r>
      <w:r w:rsidRPr="00B6040E">
        <w:rPr>
          <w:rFonts w:ascii="Times New Roman" w:hAnsi="Times New Roman"/>
        </w:rPr>
        <w:t xml:space="preserve">the urine LAM strip test </w:t>
      </w:r>
      <w:r>
        <w:rPr>
          <w:rFonts w:ascii="Times New Roman" w:hAnsi="Times New Roman"/>
        </w:rPr>
        <w:t xml:space="preserve">and routine early empiric treatment </w:t>
      </w:r>
      <w:r w:rsidRPr="00B6040E">
        <w:rPr>
          <w:rFonts w:ascii="Times New Roman" w:hAnsi="Times New Roman"/>
        </w:rPr>
        <w:t xml:space="preserve">in </w:t>
      </w:r>
      <w:proofErr w:type="spellStart"/>
      <w:r w:rsidRPr="00B6040E">
        <w:rPr>
          <w:rFonts w:ascii="Times New Roman" w:hAnsi="Times New Roman"/>
        </w:rPr>
        <w:t>hospitali</w:t>
      </w:r>
      <w:r>
        <w:rPr>
          <w:rFonts w:ascii="Times New Roman" w:hAnsi="Times New Roman"/>
        </w:rPr>
        <w:t>s</w:t>
      </w:r>
      <w:r w:rsidRPr="00B6040E">
        <w:rPr>
          <w:rFonts w:ascii="Times New Roman" w:hAnsi="Times New Roman"/>
        </w:rPr>
        <w:t>ed</w:t>
      </w:r>
      <w:proofErr w:type="spellEnd"/>
      <w:r w:rsidRPr="00B6040E">
        <w:rPr>
          <w:rFonts w:ascii="Times New Roman" w:hAnsi="Times New Roman"/>
        </w:rPr>
        <w:t xml:space="preserve"> HIV-infected patients using the definite and probable-TB groups for sensitivity and the non-TB groups for specificity analyses.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1"/>
        <w:gridCol w:w="2471"/>
        <w:gridCol w:w="2471"/>
        <w:gridCol w:w="2471"/>
      </w:tblGrid>
      <w:tr w:rsidR="00D32EB1" w:rsidRPr="00C26AEF" w:rsidTr="00D67AC8">
        <w:trPr>
          <w:trHeight w:val="299"/>
        </w:trPr>
        <w:tc>
          <w:tcPr>
            <w:tcW w:w="2470" w:type="dxa"/>
            <w:vMerge w:val="restart"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Type of TB detection test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Cut-point value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Sensitivity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Specificity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LR+</w:t>
            </w: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247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247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(95% CI)</w:t>
            </w: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 w:val="restart"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Urine LAM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  <w:r w:rsidRPr="00C26AEF">
              <w:rPr>
                <w:rFonts w:ascii="Times New Roman" w:hAnsi="Times New Roman"/>
                <w:bCs/>
                <w:vertAlign w:val="superscript"/>
              </w:rPr>
              <w:t>*1</w:t>
            </w:r>
          </w:p>
        </w:tc>
        <w:tc>
          <w:tcPr>
            <w:tcW w:w="247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</w:rPr>
              <w:t>96</w:t>
            </w:r>
          </w:p>
        </w:tc>
        <w:tc>
          <w:tcPr>
            <w:tcW w:w="247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Grade 2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(39</w:t>
            </w:r>
            <w:r w:rsidRPr="00C26AEF">
              <w:rPr>
                <w:rFonts w:ascii="Times New Roman" w:hAnsi="Times New Roman"/>
              </w:rPr>
              <w:t>-53)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</w:rPr>
              <w:t>(92-99)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</w:rPr>
              <w:t>12.3</w:t>
            </w: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</w:rPr>
              <w:t>85/187</w:t>
            </w:r>
          </w:p>
        </w:tc>
        <w:tc>
          <w:tcPr>
            <w:tcW w:w="247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</w:rPr>
              <w:t>26/27</w:t>
            </w:r>
          </w:p>
        </w:tc>
        <w:tc>
          <w:tcPr>
            <w:tcW w:w="247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</w:rPr>
              <w:t>(1.7-89.6)</w:t>
            </w: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ind w:left="-413" w:firstLine="413"/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50</w:t>
            </w:r>
            <w:r w:rsidRPr="00C26AEF">
              <w:rPr>
                <w:rFonts w:ascii="Times New Roman" w:hAnsi="Times New Roman"/>
                <w:noProof/>
                <w:vertAlign w:val="superscript"/>
              </w:rPr>
              <w:t>*1*2</w:t>
            </w:r>
          </w:p>
        </w:tc>
        <w:tc>
          <w:tcPr>
            <w:tcW w:w="247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ind w:left="-413" w:firstLine="413"/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100</w:t>
            </w:r>
          </w:p>
        </w:tc>
        <w:tc>
          <w:tcPr>
            <w:tcW w:w="247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Early empiric Rx</w:t>
            </w:r>
            <w:r w:rsidRPr="00C26AEF">
              <w:rPr>
                <w:rFonts w:ascii="Times New Roman" w:hAnsi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n</w:t>
            </w:r>
            <w:proofErr w:type="gramEnd"/>
            <w:r>
              <w:rPr>
                <w:rFonts w:ascii="Times New Roman" w:hAnsi="Times New Roman"/>
                <w:b/>
              </w:rPr>
              <w:t>/a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(43-57)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ind w:left="-413" w:firstLine="413"/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(88-100)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N/C</w:t>
            </w: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tcBorders>
              <w:top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93/187</w:t>
            </w:r>
          </w:p>
        </w:tc>
        <w:tc>
          <w:tcPr>
            <w:tcW w:w="247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27/27</w:t>
            </w:r>
          </w:p>
        </w:tc>
        <w:tc>
          <w:tcPr>
            <w:tcW w:w="247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</w:p>
        </w:tc>
      </w:tr>
      <w:tr w:rsidR="00D32EB1" w:rsidRPr="00C26AEF" w:rsidTr="00D67AC8">
        <w:trPr>
          <w:trHeight w:val="299"/>
        </w:trPr>
        <w:tc>
          <w:tcPr>
            <w:tcW w:w="12354" w:type="dxa"/>
            <w:gridSpan w:val="5"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Quantified set of clinical predictors</w:t>
            </w: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 w:val="restart"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‘</w:t>
            </w:r>
            <w:proofErr w:type="gramStart"/>
            <w:r w:rsidRPr="00C26AEF">
              <w:rPr>
                <w:rFonts w:ascii="Times New Roman" w:hAnsi="Times New Roman"/>
                <w:b/>
              </w:rPr>
              <w:t>rule</w:t>
            </w:r>
            <w:proofErr w:type="gramEnd"/>
            <w:r w:rsidRPr="00C26AEF">
              <w:rPr>
                <w:rFonts w:ascii="Times New Roman" w:hAnsi="Times New Roman"/>
                <w:b/>
              </w:rPr>
              <w:t>-out’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91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15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≥ 0.5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(87-95)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(6-33)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1.07</w:t>
            </w: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171/187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4/27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(0.99-1.17)</w:t>
            </w: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 w:val="restart"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6AEF">
              <w:rPr>
                <w:rFonts w:ascii="Times New Roman" w:hAnsi="Times New Roman"/>
                <w:b/>
              </w:rPr>
              <w:t>Youden’s</w:t>
            </w:r>
            <w:proofErr w:type="spellEnd"/>
            <w:r w:rsidRPr="00C26AEF">
              <w:rPr>
                <w:rFonts w:ascii="Times New Roman" w:hAnsi="Times New Roman"/>
                <w:b/>
              </w:rPr>
              <w:t xml:space="preserve"> index</w:t>
            </w:r>
            <w:r w:rsidRPr="00C26AEF">
              <w:rPr>
                <w:rFonts w:ascii="Times New Roman" w:hAnsi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57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67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≥ 1.5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(50-64)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(48-81)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1.7</w:t>
            </w: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106/187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18/27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(1.35-2.14)</w:t>
            </w: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 w:val="restart"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‘</w:t>
            </w:r>
            <w:proofErr w:type="gramStart"/>
            <w:r w:rsidRPr="00C26AEF">
              <w:rPr>
                <w:rFonts w:ascii="Times New Roman" w:hAnsi="Times New Roman"/>
                <w:b/>
              </w:rPr>
              <w:t>rule</w:t>
            </w:r>
            <w:proofErr w:type="gramEnd"/>
            <w:r w:rsidRPr="00C26AEF">
              <w:rPr>
                <w:rFonts w:ascii="Times New Roman" w:hAnsi="Times New Roman"/>
                <w:b/>
              </w:rPr>
              <w:t>-in’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10</w:t>
            </w:r>
            <w:r w:rsidRPr="00C26AEF">
              <w:rPr>
                <w:rFonts w:ascii="Times New Roman" w:hAnsi="Times New Roman"/>
                <w:bCs/>
                <w:vertAlign w:val="superscript"/>
              </w:rPr>
              <w:t>*1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100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</w:p>
        </w:tc>
      </w:tr>
      <w:tr w:rsidR="00D32EB1" w:rsidRPr="00C26AEF" w:rsidTr="00D67AC8">
        <w:trPr>
          <w:trHeight w:val="299"/>
        </w:trPr>
        <w:tc>
          <w:tcPr>
            <w:tcW w:w="2470" w:type="dxa"/>
            <w:vMerge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  <w:r w:rsidRPr="00C26AEF">
              <w:rPr>
                <w:rFonts w:ascii="Times New Roman" w:hAnsi="Times New Roman"/>
                <w:b/>
              </w:rPr>
              <w:t>≥ 2.5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(7-15)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(88-100)</w:t>
            </w:r>
          </w:p>
        </w:tc>
        <w:tc>
          <w:tcPr>
            <w:tcW w:w="24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N/C</w:t>
            </w:r>
          </w:p>
        </w:tc>
      </w:tr>
      <w:tr w:rsidR="00D32EB1" w:rsidRPr="00C26AEF" w:rsidTr="00D67AC8">
        <w:trPr>
          <w:trHeight w:val="285"/>
        </w:trPr>
        <w:tc>
          <w:tcPr>
            <w:tcW w:w="2470" w:type="dxa"/>
            <w:vMerge/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tcBorders>
              <w:top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19/187</w:t>
            </w:r>
          </w:p>
        </w:tc>
        <w:tc>
          <w:tcPr>
            <w:tcW w:w="2471" w:type="dxa"/>
            <w:tcBorders>
              <w:top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  <w:r w:rsidRPr="00C26AEF">
              <w:rPr>
                <w:rFonts w:ascii="Times New Roman" w:hAnsi="Times New Roman"/>
              </w:rPr>
              <w:t>27/27</w:t>
            </w:r>
          </w:p>
        </w:tc>
        <w:tc>
          <w:tcPr>
            <w:tcW w:w="2471" w:type="dxa"/>
            <w:tcBorders>
              <w:top w:val="nil"/>
            </w:tcBorders>
            <w:shd w:val="clear" w:color="auto" w:fill="auto"/>
            <w:vAlign w:val="center"/>
          </w:tcPr>
          <w:p w:rsidR="00D32EB1" w:rsidRPr="00C26AEF" w:rsidRDefault="00D32EB1" w:rsidP="00D67A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32EB1" w:rsidRPr="00EB6403" w:rsidRDefault="00D32EB1" w:rsidP="00D32EB1">
      <w:pPr>
        <w:rPr>
          <w:rFonts w:ascii="Times New Roman" w:hAnsi="Times New Roman"/>
          <w:noProof/>
        </w:rPr>
      </w:pPr>
      <w:r w:rsidRPr="00B6040E">
        <w:rPr>
          <w:rFonts w:ascii="Times New Roman" w:hAnsi="Times New Roman"/>
          <w:noProof/>
        </w:rPr>
        <w:t xml:space="preserve">P-values indicate significant differences between tests and/or cut-points (marked with * and number to indicate comparison group) for different diagnostic accuracy measures; </w:t>
      </w:r>
      <w:r w:rsidRPr="00B6040E">
        <w:rPr>
          <w:rFonts w:ascii="Times New Roman" w:hAnsi="Times New Roman"/>
          <w:bCs/>
          <w:vertAlign w:val="superscript"/>
        </w:rPr>
        <w:t>*1</w:t>
      </w:r>
      <w:r w:rsidRPr="00B6040E">
        <w:rPr>
          <w:rFonts w:ascii="Times New Roman" w:hAnsi="Times New Roman"/>
        </w:rPr>
        <w:t xml:space="preserve">p&lt;0.001; </w:t>
      </w:r>
      <w:r w:rsidRPr="00B6040E">
        <w:rPr>
          <w:rFonts w:ascii="Times New Roman" w:hAnsi="Times New Roman"/>
          <w:bCs/>
          <w:vertAlign w:val="superscript"/>
        </w:rPr>
        <w:t>*2</w:t>
      </w:r>
      <w:r w:rsidRPr="00B6040E">
        <w:rPr>
          <w:rFonts w:ascii="Times New Roman" w:hAnsi="Times New Roman"/>
        </w:rPr>
        <w:t>p=0.03</w:t>
      </w:r>
      <w:r w:rsidRPr="00B6040E">
        <w:rPr>
          <w:rFonts w:ascii="Times New Roman" w:hAnsi="Times New Roman"/>
          <w:b/>
          <w:bCs/>
          <w:vertAlign w:val="superscript"/>
        </w:rPr>
        <w:t>†</w:t>
      </w:r>
      <w:r w:rsidRPr="00B6040E">
        <w:rPr>
          <w:rFonts w:ascii="Times New Roman" w:hAnsi="Times New Roman"/>
          <w:b/>
          <w:bCs/>
        </w:rPr>
        <w:t xml:space="preserve"> </w:t>
      </w:r>
      <w:proofErr w:type="spellStart"/>
      <w:r w:rsidRPr="00B6040E">
        <w:rPr>
          <w:rFonts w:ascii="Times New Roman" w:hAnsi="Times New Roman"/>
          <w:bCs/>
        </w:rPr>
        <w:t>Youden’s</w:t>
      </w:r>
      <w:proofErr w:type="spellEnd"/>
      <w:r w:rsidRPr="00B6040E">
        <w:rPr>
          <w:rFonts w:ascii="Times New Roman" w:hAnsi="Times New Roman"/>
          <w:bCs/>
        </w:rPr>
        <w:t xml:space="preserve"> index is defined as the point on the ROC </w:t>
      </w:r>
      <w:r>
        <w:rPr>
          <w:rFonts w:ascii="Times New Roman" w:hAnsi="Times New Roman"/>
          <w:bCs/>
        </w:rPr>
        <w:t>curve that</w:t>
      </w:r>
      <w:r w:rsidRPr="00B6040E">
        <w:rPr>
          <w:rFonts w:ascii="Times New Roman" w:hAnsi="Times New Roman"/>
          <w:bCs/>
        </w:rPr>
        <w:t xml:space="preserve"> provides </w:t>
      </w:r>
      <w:r w:rsidRPr="00B6040E">
        <w:rPr>
          <w:rFonts w:ascii="Times New Roman" w:hAnsi="Times New Roman"/>
        </w:rPr>
        <w:t>the optimal mathematical balance between sensitivity and specificity</w:t>
      </w:r>
    </w:p>
    <w:p w:rsidR="00D32EB1" w:rsidRDefault="00D32EB1" w:rsidP="00D32EB1">
      <w:pPr>
        <w:ind w:right="793"/>
        <w:rPr>
          <w:rFonts w:ascii="Times New Roman" w:hAnsi="Times New Roman"/>
        </w:rPr>
      </w:pPr>
    </w:p>
    <w:p w:rsidR="00EE777B" w:rsidRPr="00D32EB1" w:rsidRDefault="00EE777B" w:rsidP="00D32EB1">
      <w:bookmarkStart w:id="0" w:name="_GoBack"/>
      <w:bookmarkEnd w:id="0"/>
    </w:p>
    <w:sectPr w:rsidR="00EE777B" w:rsidRPr="00D32EB1" w:rsidSect="00924342">
      <w:pgSz w:w="16817" w:h="11901" w:orient="landscape"/>
      <w:pgMar w:top="1797" w:right="1440" w:bottom="1797" w:left="1440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42"/>
    <w:rsid w:val="00924342"/>
    <w:rsid w:val="00C01037"/>
    <w:rsid w:val="00D32EB1"/>
    <w:rsid w:val="00EE7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615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42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42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1009</Characters>
  <Application>Microsoft Macintosh Word</Application>
  <DocSecurity>0</DocSecurity>
  <Lines>28</Lines>
  <Paragraphs>14</Paragraphs>
  <ScaleCrop>false</ScaleCrop>
  <Company>University of Cape Town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Peter</dc:creator>
  <cp:keywords/>
  <dc:description/>
  <cp:lastModifiedBy>Jonathan Peter</cp:lastModifiedBy>
  <cp:revision>2</cp:revision>
  <dcterms:created xsi:type="dcterms:W3CDTF">2013-01-09T15:07:00Z</dcterms:created>
  <dcterms:modified xsi:type="dcterms:W3CDTF">2013-01-09T15:07:00Z</dcterms:modified>
</cp:coreProperties>
</file>