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FB2" w:rsidRPr="00E0179E" w:rsidRDefault="00CD2FB2" w:rsidP="00E0179E">
      <w:pPr>
        <w:spacing w:before="120" w:line="276" w:lineRule="auto"/>
        <w:rPr>
          <w:rFonts w:asciiTheme="majorHAnsi" w:hAnsiTheme="majorHAnsi"/>
          <w:b/>
        </w:rPr>
      </w:pPr>
      <w:bookmarkStart w:id="0" w:name="_GoBack"/>
      <w:bookmarkEnd w:id="0"/>
      <w:r w:rsidRPr="00E0179E">
        <w:rPr>
          <w:rFonts w:asciiTheme="majorHAnsi" w:hAnsiTheme="majorHAnsi"/>
          <w:b/>
        </w:rPr>
        <w:t>Supporting Information Results S1</w:t>
      </w:r>
    </w:p>
    <w:p w:rsidR="00CD2FB2" w:rsidRPr="00E0179E" w:rsidRDefault="00CD2FB2" w:rsidP="00E0179E">
      <w:pPr>
        <w:spacing w:before="120" w:line="276" w:lineRule="auto"/>
        <w:rPr>
          <w:rFonts w:asciiTheme="majorHAnsi" w:hAnsiTheme="majorHAnsi"/>
          <w:b/>
        </w:rPr>
      </w:pPr>
      <w:r w:rsidRPr="00E0179E">
        <w:rPr>
          <w:rFonts w:asciiTheme="majorHAnsi" w:hAnsiTheme="majorHAnsi"/>
          <w:b/>
        </w:rPr>
        <w:t xml:space="preserve">Sexual segregation and flexible mating patterns in temperate bats </w:t>
      </w:r>
    </w:p>
    <w:p w:rsidR="00CD2FB2" w:rsidRPr="00E0179E" w:rsidRDefault="00CD2FB2" w:rsidP="00E0179E">
      <w:pPr>
        <w:spacing w:before="120" w:line="276" w:lineRule="auto"/>
        <w:rPr>
          <w:rFonts w:asciiTheme="majorHAnsi" w:hAnsiTheme="majorHAnsi"/>
          <w:b/>
        </w:rPr>
      </w:pPr>
      <w:r w:rsidRPr="00E0179E">
        <w:rPr>
          <w:rFonts w:asciiTheme="majorHAnsi" w:hAnsiTheme="majorHAnsi"/>
          <w:b/>
        </w:rPr>
        <w:t>RA Angell, RK Butlin and JD Altringham</w:t>
      </w:r>
    </w:p>
    <w:p w:rsidR="00CD2FB2" w:rsidRPr="00E0179E" w:rsidRDefault="00CD2FB2" w:rsidP="00E0179E">
      <w:pPr>
        <w:spacing w:before="120" w:line="276" w:lineRule="auto"/>
        <w:rPr>
          <w:rFonts w:asciiTheme="majorHAnsi" w:hAnsiTheme="majorHAnsi"/>
          <w:b/>
        </w:rPr>
      </w:pPr>
    </w:p>
    <w:p w:rsidR="00CD2FB2" w:rsidRPr="00E0179E" w:rsidRDefault="00CD2FB2" w:rsidP="00E0179E">
      <w:pPr>
        <w:spacing w:line="276" w:lineRule="auto"/>
        <w:rPr>
          <w:rFonts w:asciiTheme="majorHAnsi" w:hAnsiTheme="majorHAnsi"/>
          <w:b/>
          <w:sz w:val="22"/>
          <w:szCs w:val="22"/>
        </w:rPr>
      </w:pPr>
      <w:r w:rsidRPr="00E0179E">
        <w:rPr>
          <w:rFonts w:asciiTheme="majorHAnsi" w:hAnsiTheme="majorHAnsi"/>
          <w:b/>
          <w:sz w:val="22"/>
          <w:szCs w:val="22"/>
        </w:rPr>
        <w:t>Paternity assignment to individual males</w:t>
      </w:r>
    </w:p>
    <w:p w:rsidR="00CD2FB2" w:rsidRPr="00E0179E" w:rsidRDefault="00CD2FB2" w:rsidP="00E0179E">
      <w:pPr>
        <w:spacing w:line="276" w:lineRule="auto"/>
        <w:rPr>
          <w:rFonts w:asciiTheme="majorHAnsi" w:hAnsiTheme="majorHAnsi"/>
          <w:b/>
          <w:sz w:val="22"/>
          <w:szCs w:val="22"/>
        </w:rPr>
      </w:pPr>
    </w:p>
    <w:p w:rsidR="00CD2FB2" w:rsidRPr="00E0179E" w:rsidRDefault="00CD2FB2" w:rsidP="00E0179E">
      <w:pPr>
        <w:spacing w:line="276" w:lineRule="auto"/>
        <w:rPr>
          <w:rFonts w:asciiTheme="majorHAnsi" w:hAnsiTheme="majorHAnsi"/>
          <w:sz w:val="22"/>
          <w:szCs w:val="22"/>
        </w:rPr>
      </w:pPr>
      <w:r w:rsidRPr="00E0179E">
        <w:rPr>
          <w:rFonts w:asciiTheme="majorHAnsi" w:hAnsiTheme="majorHAnsi"/>
          <w:b/>
          <w:sz w:val="22"/>
          <w:szCs w:val="22"/>
        </w:rPr>
        <w:t>Of 10 mid-elevation offspring</w:t>
      </w:r>
      <w:r w:rsidRPr="00E0179E">
        <w:rPr>
          <w:rFonts w:asciiTheme="majorHAnsi" w:hAnsiTheme="majorHAnsi"/>
          <w:sz w:val="22"/>
          <w:szCs w:val="22"/>
        </w:rPr>
        <w:t xml:space="preserve"> in the analysis, two could be assigned fathers (one with strict confidence, one relaxed). Both fathers (one as part of a parent pair) were caught in the year of mating at roosts outside the mid-elevation area, suggesting that mating occurred at a swarming site.  One had spent a</w:t>
      </w:r>
      <w:r w:rsidR="00BE092F">
        <w:rPr>
          <w:rFonts w:asciiTheme="majorHAnsi" w:hAnsiTheme="majorHAnsi"/>
          <w:sz w:val="22"/>
          <w:szCs w:val="22"/>
        </w:rPr>
        <w:t>t least five years in the upper-</w:t>
      </w:r>
      <w:r w:rsidRPr="00E0179E">
        <w:rPr>
          <w:rFonts w:asciiTheme="majorHAnsi" w:hAnsiTheme="majorHAnsi"/>
          <w:sz w:val="22"/>
          <w:szCs w:val="22"/>
        </w:rPr>
        <w:t xml:space="preserve">elevation, until it was caught in a low-elevation roost in 2007, one of only a few adult males to move between areas.  The other was caught at a roost on the River Ure in Wensleydale (Figure 1).  Bats from summer sites in Wharfedale and Wensleydale are known to use a common swarming site (Dow Cave) between the two dales. </w:t>
      </w:r>
    </w:p>
    <w:p w:rsidR="00CD2FB2" w:rsidRPr="00E0179E" w:rsidRDefault="00CD2FB2" w:rsidP="00E0179E">
      <w:pPr>
        <w:spacing w:line="276" w:lineRule="auto"/>
        <w:rPr>
          <w:rFonts w:asciiTheme="majorHAnsi" w:hAnsiTheme="majorHAnsi"/>
          <w:sz w:val="22"/>
          <w:szCs w:val="22"/>
        </w:rPr>
      </w:pPr>
    </w:p>
    <w:p w:rsidR="00CD2FB2" w:rsidRPr="00E0179E" w:rsidRDefault="00CD2FB2" w:rsidP="00E0179E">
      <w:pPr>
        <w:spacing w:line="276" w:lineRule="auto"/>
        <w:rPr>
          <w:rFonts w:asciiTheme="majorHAnsi" w:hAnsiTheme="majorHAnsi"/>
          <w:sz w:val="22"/>
          <w:szCs w:val="22"/>
        </w:rPr>
      </w:pPr>
      <w:r w:rsidRPr="00E0179E">
        <w:rPr>
          <w:rFonts w:asciiTheme="majorHAnsi" w:hAnsiTheme="majorHAnsi"/>
          <w:b/>
          <w:sz w:val="22"/>
          <w:szCs w:val="22"/>
        </w:rPr>
        <w:t>For the 128 lowland offspring</w:t>
      </w:r>
      <w:r w:rsidRPr="00E0179E">
        <w:rPr>
          <w:rFonts w:asciiTheme="majorHAnsi" w:hAnsiTheme="majorHAnsi"/>
          <w:sz w:val="22"/>
          <w:szCs w:val="22"/>
        </w:rPr>
        <w:t xml:space="preserve"> overall assignment rates were 41% for mothers, 13% for fathers and 14% for parent pairs (48 mothers and 10 fathers assigned with strict confidence, five mothers and six fathers with relaxed confidence, 12 parent pairs with relaxed confidence). All but five assigned mothers were caught at the same roost as the offspring, reflecting the level of roost switching between the two low-elevation roosts.  </w:t>
      </w:r>
    </w:p>
    <w:p w:rsidR="00CD2FB2" w:rsidRPr="00E0179E" w:rsidRDefault="00CD2FB2" w:rsidP="00E0179E">
      <w:pPr>
        <w:spacing w:line="276" w:lineRule="auto"/>
        <w:rPr>
          <w:rFonts w:asciiTheme="majorHAnsi" w:hAnsiTheme="majorHAnsi"/>
          <w:sz w:val="22"/>
          <w:szCs w:val="22"/>
        </w:rPr>
      </w:pPr>
    </w:p>
    <w:p w:rsidR="00CD2FB2" w:rsidRPr="00E0179E" w:rsidRDefault="00CD2FB2" w:rsidP="00E0179E">
      <w:pPr>
        <w:spacing w:line="276" w:lineRule="auto"/>
        <w:rPr>
          <w:rFonts w:asciiTheme="majorHAnsi" w:hAnsiTheme="majorHAnsi"/>
          <w:sz w:val="22"/>
          <w:szCs w:val="22"/>
        </w:rPr>
      </w:pPr>
      <w:r w:rsidRPr="00E0179E">
        <w:rPr>
          <w:rFonts w:asciiTheme="majorHAnsi" w:hAnsiTheme="majorHAnsi"/>
          <w:sz w:val="22"/>
          <w:szCs w:val="22"/>
        </w:rPr>
        <w:t>Eleven assigned males were caught during the year an offspring’s parents would have mated, three at nearby swarming sites.  One of these was a known summer resident of the upper</w:t>
      </w:r>
      <w:r w:rsidR="00BE092F">
        <w:rPr>
          <w:rFonts w:asciiTheme="majorHAnsi" w:hAnsiTheme="majorHAnsi"/>
          <w:sz w:val="22"/>
          <w:szCs w:val="22"/>
        </w:rPr>
        <w:t>-</w:t>
      </w:r>
      <w:r w:rsidRPr="00E0179E">
        <w:rPr>
          <w:rFonts w:asciiTheme="majorHAnsi" w:hAnsiTheme="majorHAnsi"/>
          <w:sz w:val="22"/>
          <w:szCs w:val="22"/>
        </w:rPr>
        <w:t>elevation site.  Six had only eve</w:t>
      </w:r>
      <w:r w:rsidR="00BE092F">
        <w:rPr>
          <w:rFonts w:asciiTheme="majorHAnsi" w:hAnsiTheme="majorHAnsi"/>
          <w:sz w:val="22"/>
          <w:szCs w:val="22"/>
        </w:rPr>
        <w:t>r been caught at upper-</w:t>
      </w:r>
      <w:r w:rsidRPr="00E0179E">
        <w:rPr>
          <w:rFonts w:asciiTheme="majorHAnsi" w:hAnsiTheme="majorHAnsi"/>
          <w:sz w:val="22"/>
          <w:szCs w:val="22"/>
        </w:rPr>
        <w:t>elevation summer sites and mating probably occurred at swarming sites.  Two fathers were from the low-elevation roosts and most probably mated with the mothers there.</w:t>
      </w:r>
    </w:p>
    <w:p w:rsidR="00CD2FB2" w:rsidRPr="00E0179E" w:rsidRDefault="00CD2FB2" w:rsidP="00E0179E">
      <w:pPr>
        <w:spacing w:line="276" w:lineRule="auto"/>
        <w:rPr>
          <w:rFonts w:asciiTheme="majorHAnsi" w:hAnsiTheme="majorHAnsi"/>
          <w:sz w:val="22"/>
          <w:szCs w:val="22"/>
        </w:rPr>
      </w:pPr>
    </w:p>
    <w:p w:rsidR="00CD2FB2" w:rsidRPr="00E0179E" w:rsidRDefault="00CD2FB2" w:rsidP="00E0179E">
      <w:pPr>
        <w:spacing w:line="276" w:lineRule="auto"/>
        <w:rPr>
          <w:rFonts w:asciiTheme="majorHAnsi" w:hAnsiTheme="majorHAnsi"/>
          <w:sz w:val="22"/>
          <w:szCs w:val="22"/>
        </w:rPr>
      </w:pPr>
      <w:r w:rsidRPr="00E0179E">
        <w:rPr>
          <w:rFonts w:asciiTheme="majorHAnsi" w:hAnsiTheme="majorHAnsi"/>
          <w:sz w:val="22"/>
          <w:szCs w:val="22"/>
        </w:rPr>
        <w:t>Seventeen fathers assigned either individually, or as part of a parent pair, were not caught during the year of mating.  Since bats show a high degree of site fidelity, capture in previous or later years provides an indication of the site location during the year in ques</w:t>
      </w:r>
      <w:r w:rsidR="00BE092F">
        <w:rPr>
          <w:rFonts w:asciiTheme="majorHAnsi" w:hAnsiTheme="majorHAnsi"/>
          <w:sz w:val="22"/>
          <w:szCs w:val="22"/>
        </w:rPr>
        <w:t>tion.  Four were from the upper-</w:t>
      </w:r>
      <w:r w:rsidRPr="00E0179E">
        <w:rPr>
          <w:rFonts w:asciiTheme="majorHAnsi" w:hAnsiTheme="majorHAnsi"/>
          <w:sz w:val="22"/>
          <w:szCs w:val="22"/>
        </w:rPr>
        <w:t xml:space="preserve">elevation, eight from mid-elevation roost or foraging sites and three were caught at a low-elevation roost the year the offspring were born there.  The summer site of two is unknown as they were only ever caught at swarming sites.  </w:t>
      </w:r>
    </w:p>
    <w:p w:rsidR="00CD2FB2" w:rsidRPr="00E0179E" w:rsidRDefault="00CD2FB2" w:rsidP="00E0179E">
      <w:pPr>
        <w:spacing w:line="276" w:lineRule="auto"/>
        <w:rPr>
          <w:rFonts w:asciiTheme="majorHAnsi" w:hAnsiTheme="majorHAnsi"/>
          <w:sz w:val="22"/>
          <w:szCs w:val="22"/>
        </w:rPr>
      </w:pPr>
    </w:p>
    <w:p w:rsidR="00CD2FB2" w:rsidRPr="00E0179E" w:rsidRDefault="00CD2FB2" w:rsidP="00E0179E">
      <w:pPr>
        <w:spacing w:line="276" w:lineRule="auto"/>
        <w:rPr>
          <w:rFonts w:asciiTheme="majorHAnsi" w:hAnsiTheme="majorHAnsi"/>
          <w:sz w:val="22"/>
          <w:szCs w:val="22"/>
        </w:rPr>
      </w:pPr>
      <w:r w:rsidRPr="00E0179E">
        <w:rPr>
          <w:rFonts w:asciiTheme="majorHAnsi" w:hAnsiTheme="majorHAnsi"/>
          <w:sz w:val="22"/>
          <w:szCs w:val="22"/>
        </w:rPr>
        <w:t xml:space="preserve">In summary, of 71 gentoyped males which </w:t>
      </w:r>
      <w:r w:rsidR="00BE092F">
        <w:rPr>
          <w:rFonts w:asciiTheme="majorHAnsi" w:hAnsiTheme="majorHAnsi"/>
          <w:sz w:val="22"/>
          <w:szCs w:val="22"/>
        </w:rPr>
        <w:t>had been caught at an upper-</w:t>
      </w:r>
      <w:r w:rsidRPr="00E0179E">
        <w:rPr>
          <w:rFonts w:asciiTheme="majorHAnsi" w:hAnsiTheme="majorHAnsi"/>
          <w:sz w:val="22"/>
          <w:szCs w:val="22"/>
        </w:rPr>
        <w:t xml:space="preserve">elevation site between 2004 and 2006, 11 were assigned paternity. Of 47 genotyped males caught at mid-elevation sites, eight were assigned paternity. Of 17 genotyped males caught at a low-elevation site, five were assigned paternity. Of 217 genotyped males caught at swarming sites, five were assigned paternity. Note that of the 28 males assigned paternity of low-elevation offspring, one male was caught at both an upper-elevation site and a swarming site. Of the 341 genotyped males, 11 were caught in more than one area. </w:t>
      </w:r>
    </w:p>
    <w:p w:rsidR="00CD2FB2" w:rsidRPr="00E0179E" w:rsidRDefault="00CD2FB2" w:rsidP="00E0179E">
      <w:pPr>
        <w:spacing w:line="276" w:lineRule="auto"/>
        <w:rPr>
          <w:rFonts w:asciiTheme="majorHAnsi" w:hAnsiTheme="majorHAnsi"/>
          <w:sz w:val="22"/>
          <w:szCs w:val="22"/>
        </w:rPr>
      </w:pPr>
    </w:p>
    <w:p w:rsidR="00CD2FB2" w:rsidRPr="00E0179E" w:rsidRDefault="00CD2FB2" w:rsidP="00E0179E">
      <w:pPr>
        <w:spacing w:line="276" w:lineRule="auto"/>
        <w:rPr>
          <w:rFonts w:asciiTheme="majorHAnsi" w:hAnsiTheme="majorHAnsi"/>
          <w:sz w:val="22"/>
          <w:szCs w:val="22"/>
        </w:rPr>
      </w:pPr>
      <w:r w:rsidRPr="00E0179E">
        <w:rPr>
          <w:rFonts w:asciiTheme="majorHAnsi" w:hAnsiTheme="majorHAnsi"/>
          <w:sz w:val="22"/>
          <w:szCs w:val="22"/>
        </w:rPr>
        <w:t xml:space="preserve">These results suggest that fathers of the low-elevation offspring are drawn from the whole dale and perhaps beyond, with mating occurring in summer roosts and at swarming sites.    </w:t>
      </w:r>
    </w:p>
    <w:p w:rsidR="00CD2FB2" w:rsidRPr="00E0179E" w:rsidRDefault="00CD2FB2" w:rsidP="00E0179E">
      <w:pPr>
        <w:spacing w:line="276" w:lineRule="auto"/>
        <w:rPr>
          <w:rFonts w:asciiTheme="majorHAnsi" w:hAnsiTheme="majorHAnsi"/>
          <w:b/>
          <w:sz w:val="22"/>
          <w:szCs w:val="22"/>
        </w:rPr>
      </w:pPr>
    </w:p>
    <w:p w:rsidR="00CD2FB2" w:rsidRPr="00E0179E" w:rsidRDefault="00CD2FB2" w:rsidP="00E0179E">
      <w:pPr>
        <w:spacing w:line="276" w:lineRule="auto"/>
        <w:rPr>
          <w:rFonts w:asciiTheme="majorHAnsi" w:hAnsiTheme="majorHAnsi"/>
          <w:b/>
          <w:sz w:val="22"/>
          <w:szCs w:val="22"/>
        </w:rPr>
      </w:pPr>
      <w:r w:rsidRPr="00E0179E">
        <w:rPr>
          <w:rFonts w:asciiTheme="majorHAnsi" w:hAnsiTheme="majorHAnsi"/>
          <w:b/>
          <w:sz w:val="22"/>
          <w:szCs w:val="22"/>
        </w:rPr>
        <w:t>Paternity assignment to male group</w:t>
      </w:r>
    </w:p>
    <w:p w:rsidR="00CD2FB2" w:rsidRPr="00E0179E" w:rsidRDefault="00CD2FB2" w:rsidP="00E0179E">
      <w:pPr>
        <w:spacing w:line="276" w:lineRule="auto"/>
        <w:rPr>
          <w:rFonts w:asciiTheme="majorHAnsi" w:hAnsiTheme="majorHAnsi"/>
          <w:b/>
          <w:sz w:val="22"/>
          <w:szCs w:val="22"/>
        </w:rPr>
      </w:pPr>
    </w:p>
    <w:p w:rsidR="00CD2FB2" w:rsidRPr="00E0179E" w:rsidRDefault="00155BD9" w:rsidP="00E0179E">
      <w:pPr>
        <w:autoSpaceDE w:val="0"/>
        <w:autoSpaceDN w:val="0"/>
        <w:adjustRightInd w:val="0"/>
        <w:spacing w:line="276" w:lineRule="auto"/>
        <w:rPr>
          <w:rFonts w:asciiTheme="majorHAnsi" w:hAnsiTheme="majorHAnsi"/>
          <w:color w:val="000000"/>
          <w:sz w:val="22"/>
          <w:szCs w:val="22"/>
        </w:rPr>
      </w:pPr>
      <w:r>
        <w:rPr>
          <w:rFonts w:asciiTheme="majorHAnsi" w:hAnsiTheme="majorHAnsi"/>
          <w:color w:val="000000"/>
          <w:sz w:val="22"/>
          <w:szCs w:val="22"/>
        </w:rPr>
        <w:t>Table 5</w:t>
      </w:r>
      <w:r w:rsidR="00CD2FB2" w:rsidRPr="00E0179E">
        <w:rPr>
          <w:rFonts w:asciiTheme="majorHAnsi" w:hAnsiTheme="majorHAnsi"/>
          <w:color w:val="000000"/>
          <w:sz w:val="22"/>
          <w:szCs w:val="22"/>
        </w:rPr>
        <w:t xml:space="preserve"> shows the outcomes of the additional runs of the paternity program. </w:t>
      </w:r>
      <w:r w:rsidR="00CD2FB2" w:rsidRPr="00E0179E">
        <w:rPr>
          <w:rFonts w:asciiTheme="majorHAnsi" w:hAnsiTheme="majorHAnsi"/>
          <w:sz w:val="22"/>
          <w:szCs w:val="22"/>
        </w:rPr>
        <w:t xml:space="preserve">The results were robust to starting conditions and independent of the width of the prior distributions. The definitive model was favoured over the null model, with invariant probability of paternity per male, (Bayes factor = 3.1, based on the harmonic means of post burn-in log likelihoods, support for the model is ‘strong’ i.e. the definitive model was approximately 22 times more likely than the null model (Jeffreys 1961)). </w:t>
      </w:r>
    </w:p>
    <w:p w:rsidR="00CD2FB2" w:rsidRPr="00E0179E" w:rsidRDefault="00CD2FB2" w:rsidP="00E0179E">
      <w:pPr>
        <w:autoSpaceDE w:val="0"/>
        <w:autoSpaceDN w:val="0"/>
        <w:adjustRightInd w:val="0"/>
        <w:spacing w:line="276" w:lineRule="auto"/>
        <w:rPr>
          <w:rFonts w:asciiTheme="majorHAnsi" w:hAnsiTheme="majorHAnsi"/>
          <w:color w:val="000000"/>
          <w:sz w:val="22"/>
          <w:szCs w:val="22"/>
        </w:rPr>
      </w:pPr>
    </w:p>
    <w:p w:rsidR="00CD2FB2" w:rsidRPr="00E0179E" w:rsidRDefault="00CD2FB2" w:rsidP="00E0179E">
      <w:pPr>
        <w:spacing w:line="276" w:lineRule="auto"/>
        <w:rPr>
          <w:rFonts w:asciiTheme="majorHAnsi" w:hAnsiTheme="majorHAnsi"/>
          <w:b/>
          <w:sz w:val="22"/>
          <w:szCs w:val="22"/>
        </w:rPr>
        <w:sectPr w:rsidR="00CD2FB2" w:rsidRPr="00E0179E" w:rsidSect="00E0179E">
          <w:footerReference w:type="even" r:id="rId7"/>
          <w:footerReference w:type="default" r:id="rId8"/>
          <w:pgSz w:w="12240" w:h="15840"/>
          <w:pgMar w:top="1440" w:right="1559" w:bottom="1440" w:left="1559" w:header="709" w:footer="709" w:gutter="0"/>
          <w:cols w:space="708"/>
          <w:docGrid w:linePitch="360"/>
        </w:sectPr>
      </w:pPr>
    </w:p>
    <w:p w:rsidR="00CD2FB2" w:rsidRPr="00E0179E" w:rsidRDefault="00CD2FB2" w:rsidP="00E0179E">
      <w:pPr>
        <w:autoSpaceDE w:val="0"/>
        <w:autoSpaceDN w:val="0"/>
        <w:adjustRightInd w:val="0"/>
        <w:spacing w:line="276" w:lineRule="auto"/>
        <w:rPr>
          <w:rFonts w:asciiTheme="majorHAnsi" w:hAnsiTheme="majorHAnsi"/>
          <w:b/>
          <w:sz w:val="22"/>
          <w:szCs w:val="22"/>
        </w:rPr>
      </w:pPr>
      <w:r w:rsidRPr="00E0179E">
        <w:rPr>
          <w:rFonts w:asciiTheme="majorHAnsi" w:hAnsiTheme="majorHAnsi"/>
          <w:b/>
          <w:sz w:val="22"/>
          <w:szCs w:val="22"/>
        </w:rPr>
        <w:lastRenderedPageBreak/>
        <w:t xml:space="preserve">Table </w:t>
      </w:r>
      <w:r w:rsidR="00155BD9">
        <w:rPr>
          <w:rFonts w:asciiTheme="majorHAnsi" w:hAnsiTheme="majorHAnsi"/>
          <w:b/>
          <w:sz w:val="22"/>
          <w:szCs w:val="22"/>
        </w:rPr>
        <w:t>5</w:t>
      </w:r>
      <w:r w:rsidRPr="00E0179E">
        <w:rPr>
          <w:rFonts w:asciiTheme="majorHAnsi" w:hAnsiTheme="majorHAnsi"/>
          <w:b/>
          <w:sz w:val="22"/>
          <w:szCs w:val="22"/>
        </w:rPr>
        <w:t xml:space="preserve">. Results from the paternity assignment program runs with definitive and adjusted variables (starting point and altered slope of prior distribution), and for the null model (invariant </w:t>
      </w:r>
      <w:r w:rsidRPr="00E0179E">
        <w:rPr>
          <w:rFonts w:asciiTheme="majorHAnsi" w:hAnsiTheme="majorHAnsi"/>
          <w:b/>
          <w:i/>
          <w:iCs/>
          <w:sz w:val="22"/>
          <w:szCs w:val="22"/>
        </w:rPr>
        <w:t>P</w:t>
      </w:r>
      <w:r w:rsidRPr="00E0179E">
        <w:rPr>
          <w:rFonts w:asciiTheme="majorHAnsi" w:hAnsiTheme="majorHAnsi"/>
          <w:b/>
          <w:sz w:val="22"/>
          <w:szCs w:val="22"/>
        </w:rPr>
        <w:t xml:space="preserve">). </w:t>
      </w:r>
    </w:p>
    <w:p w:rsidR="00CD2FB2" w:rsidRPr="00E0179E" w:rsidRDefault="00CD2FB2" w:rsidP="00E0179E">
      <w:pPr>
        <w:autoSpaceDE w:val="0"/>
        <w:autoSpaceDN w:val="0"/>
        <w:adjustRightInd w:val="0"/>
        <w:spacing w:line="276" w:lineRule="auto"/>
        <w:rPr>
          <w:rFonts w:asciiTheme="majorHAnsi" w:hAnsiTheme="majorHAnsi"/>
          <w:sz w:val="22"/>
          <w:szCs w:val="22"/>
        </w:rPr>
      </w:pPr>
    </w:p>
    <w:p w:rsidR="00CD2FB2" w:rsidRPr="00E0179E" w:rsidRDefault="00CD2FB2" w:rsidP="00E0179E">
      <w:pPr>
        <w:autoSpaceDE w:val="0"/>
        <w:autoSpaceDN w:val="0"/>
        <w:adjustRightInd w:val="0"/>
        <w:spacing w:line="276" w:lineRule="auto"/>
        <w:rPr>
          <w:rFonts w:asciiTheme="majorHAnsi" w:hAnsiTheme="majorHAnsi"/>
          <w:b/>
          <w:sz w:val="22"/>
          <w:szCs w:val="22"/>
        </w:rPr>
      </w:pPr>
      <w:r w:rsidRPr="00E0179E">
        <w:rPr>
          <w:rFonts w:asciiTheme="majorHAnsi" w:hAnsiTheme="majorHAnsi"/>
          <w:b/>
          <w:sz w:val="22"/>
          <w:szCs w:val="22"/>
        </w:rPr>
        <w:t>(</w:t>
      </w:r>
      <w:r w:rsidR="00155BD9">
        <w:rPr>
          <w:rFonts w:asciiTheme="majorHAnsi" w:hAnsiTheme="majorHAnsi"/>
          <w:b/>
          <w:sz w:val="22"/>
          <w:szCs w:val="22"/>
        </w:rPr>
        <w:t>A</w:t>
      </w:r>
      <w:r w:rsidRPr="00E0179E">
        <w:rPr>
          <w:rFonts w:asciiTheme="majorHAnsi" w:hAnsiTheme="majorHAnsi"/>
          <w:b/>
          <w:sz w:val="22"/>
          <w:szCs w:val="22"/>
        </w:rPr>
        <w:t xml:space="preserve">) Mean values of posterior distributions of </w:t>
      </w:r>
      <w:r w:rsidRPr="00E0179E">
        <w:rPr>
          <w:rFonts w:asciiTheme="majorHAnsi" w:hAnsiTheme="majorHAnsi"/>
          <w:b/>
          <w:i/>
          <w:iCs/>
          <w:sz w:val="22"/>
          <w:szCs w:val="22"/>
        </w:rPr>
        <w:t>P</w:t>
      </w:r>
      <w:r w:rsidRPr="00E0179E">
        <w:rPr>
          <w:rFonts w:asciiTheme="majorHAnsi" w:hAnsiTheme="majorHAnsi"/>
          <w:b/>
          <w:sz w:val="22"/>
          <w:szCs w:val="22"/>
        </w:rPr>
        <w:t xml:space="preserve"> with 95 % support limits below in parenthesis.</w:t>
      </w:r>
    </w:p>
    <w:tbl>
      <w:tblPr>
        <w:tblW w:w="14284" w:type="dxa"/>
        <w:tblInd w:w="108" w:type="dxa"/>
        <w:tblBorders>
          <w:top w:val="single" w:sz="4" w:space="0" w:color="auto"/>
          <w:bottom w:val="single" w:sz="4" w:space="0" w:color="auto"/>
        </w:tblBorders>
        <w:tblLook w:val="04A0" w:firstRow="1" w:lastRow="0" w:firstColumn="1" w:lastColumn="0" w:noHBand="0" w:noVBand="1"/>
      </w:tblPr>
      <w:tblGrid>
        <w:gridCol w:w="1985"/>
        <w:gridCol w:w="1757"/>
        <w:gridCol w:w="1757"/>
        <w:gridCol w:w="1757"/>
        <w:gridCol w:w="1757"/>
        <w:gridCol w:w="1757"/>
        <w:gridCol w:w="1757"/>
        <w:gridCol w:w="1757"/>
      </w:tblGrid>
      <w:tr w:rsidR="00CD2FB2" w:rsidRPr="00E0179E" w:rsidTr="00E0179E">
        <w:trPr>
          <w:trHeight w:val="340"/>
        </w:trPr>
        <w:tc>
          <w:tcPr>
            <w:tcW w:w="1985"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Run:</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Definitive</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Adjusted</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Adjusted</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Adjusted</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Adjusted</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Adjusted</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Null</w:t>
            </w:r>
          </w:p>
        </w:tc>
      </w:tr>
      <w:tr w:rsidR="00CD2FB2" w:rsidRPr="00E0179E" w:rsidTr="00E0179E">
        <w:trPr>
          <w:trHeight w:val="340"/>
        </w:trPr>
        <w:tc>
          <w:tcPr>
            <w:tcW w:w="1985"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Starting point:</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0.1, 0.7</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0.001, 0.1</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0.3, 0.1</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0.1, 0.7</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0.1, 0.7</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0.1, 0.7</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0.1, 0.7</w:t>
            </w:r>
          </w:p>
        </w:tc>
      </w:tr>
      <w:tr w:rsidR="00CD2FB2" w:rsidRPr="00E0179E" w:rsidTr="00E0179E">
        <w:trPr>
          <w:trHeight w:val="340"/>
        </w:trPr>
        <w:tc>
          <w:tcPr>
            <w:tcW w:w="1985"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Prior distribution:</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normal</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normal</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normal</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shallow, 2x sd</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shallow, 3x sd</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shallow, 4x sd</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flat</w:t>
            </w:r>
          </w:p>
        </w:tc>
      </w:tr>
      <w:tr w:rsidR="00CD2FB2" w:rsidRPr="00E0179E" w:rsidTr="00E0179E">
        <w:trPr>
          <w:trHeight w:val="340"/>
        </w:trPr>
        <w:tc>
          <w:tcPr>
            <w:tcW w:w="1985"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r w:rsidRPr="00E0179E">
              <w:rPr>
                <w:rFonts w:asciiTheme="majorHAnsi" w:hAnsiTheme="majorHAnsi"/>
                <w:bCs/>
                <w:sz w:val="20"/>
                <w:szCs w:val="20"/>
                <w:lang w:val="en-US"/>
              </w:rPr>
              <w:t>P</w:t>
            </w:r>
            <w:r w:rsidRPr="00E0179E">
              <w:rPr>
                <w:rFonts w:asciiTheme="majorHAnsi" w:hAnsiTheme="majorHAnsi"/>
                <w:bCs/>
                <w:sz w:val="20"/>
                <w:szCs w:val="20"/>
                <w:vertAlign w:val="subscript"/>
                <w:lang w:val="en-US"/>
              </w:rPr>
              <w:t>1</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0.0086</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0.0088</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0.0087</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0.0089</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0.0089</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0.0088</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0.0354</w:t>
            </w:r>
          </w:p>
        </w:tc>
      </w:tr>
      <w:tr w:rsidR="00CD2FB2" w:rsidRPr="00E0179E" w:rsidTr="00E0179E">
        <w:trPr>
          <w:trHeight w:val="340"/>
        </w:trPr>
        <w:tc>
          <w:tcPr>
            <w:tcW w:w="1985" w:type="dxa"/>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(0.0000 - 0.0280)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(0.0000 - 0.0290)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(0.0000 - 0.0270)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(0.0000 - 0.0300)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(0.0000 - 0.0290)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(0.0000 - 0.0290)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(0.0300 - 0.0430)</w:t>
            </w:r>
          </w:p>
        </w:tc>
      </w:tr>
      <w:tr w:rsidR="00CD2FB2" w:rsidRPr="00E0179E" w:rsidTr="00E0179E">
        <w:trPr>
          <w:trHeight w:val="340"/>
        </w:trPr>
        <w:tc>
          <w:tcPr>
            <w:tcW w:w="1985" w:type="dxa"/>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r w:rsidRPr="00E0179E">
              <w:rPr>
                <w:rFonts w:asciiTheme="majorHAnsi" w:hAnsiTheme="majorHAnsi"/>
                <w:bCs/>
                <w:sz w:val="20"/>
                <w:szCs w:val="20"/>
                <w:lang w:val="en-US"/>
              </w:rPr>
              <w:t>P</w:t>
            </w:r>
            <w:r w:rsidRPr="00E0179E">
              <w:rPr>
                <w:rFonts w:asciiTheme="majorHAnsi" w:hAnsiTheme="majorHAnsi"/>
                <w:bCs/>
                <w:sz w:val="20"/>
                <w:szCs w:val="20"/>
                <w:vertAlign w:val="subscript"/>
                <w:lang w:val="en-US"/>
              </w:rPr>
              <w:t>2</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0.0081</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0.0081</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0.0080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0.0084</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0.0079</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0.0081</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0.0132</w:t>
            </w:r>
          </w:p>
        </w:tc>
      </w:tr>
      <w:tr w:rsidR="00CD2FB2" w:rsidRPr="00E0179E" w:rsidTr="00E0179E">
        <w:trPr>
          <w:trHeight w:val="340"/>
        </w:trPr>
        <w:tc>
          <w:tcPr>
            <w:tcW w:w="1985" w:type="dxa"/>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(0.0000 - 0.0270)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(0.0000 - 0.0270)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(0.0000 - 0.0270)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(0.0000 - 0.0290)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(0.0000 - 0.0250)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(0.0000 - 0.0270)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(0.0100 - 0.0200)</w:t>
            </w:r>
          </w:p>
        </w:tc>
      </w:tr>
      <w:tr w:rsidR="00CD2FB2" w:rsidRPr="00E0179E" w:rsidTr="00E0179E">
        <w:trPr>
          <w:trHeight w:val="340"/>
        </w:trPr>
        <w:tc>
          <w:tcPr>
            <w:tcW w:w="1985" w:type="dxa"/>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r w:rsidRPr="00E0179E">
              <w:rPr>
                <w:rFonts w:asciiTheme="majorHAnsi" w:hAnsiTheme="majorHAnsi"/>
                <w:bCs/>
                <w:sz w:val="20"/>
                <w:szCs w:val="20"/>
                <w:lang w:val="en-US"/>
              </w:rPr>
              <w:t>P</w:t>
            </w:r>
            <w:r w:rsidRPr="00E0179E">
              <w:rPr>
                <w:rFonts w:asciiTheme="majorHAnsi" w:hAnsiTheme="majorHAnsi"/>
                <w:bCs/>
                <w:sz w:val="20"/>
                <w:szCs w:val="20"/>
                <w:vertAlign w:val="subscript"/>
                <w:lang w:val="en-US"/>
              </w:rPr>
              <w:t>3</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0.0166</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0.0162</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0.0159</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0.0165</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0.0162</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0.0164</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0.0106</w:t>
            </w:r>
          </w:p>
        </w:tc>
      </w:tr>
      <w:tr w:rsidR="00CD2FB2" w:rsidRPr="00E0179E" w:rsidTr="00E0179E">
        <w:trPr>
          <w:trHeight w:val="340"/>
        </w:trPr>
        <w:tc>
          <w:tcPr>
            <w:tcW w:w="1985" w:type="dxa"/>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(0.0030 - 0.0420)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(0.0030 - 0.0410)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(0.0030 - 0.0380)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(0.0030 - 0.0430)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(0.0030 - 0.0400)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(0.0030 - 0.0410)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(0.0070 - 0.0170)</w:t>
            </w:r>
          </w:p>
        </w:tc>
      </w:tr>
      <w:tr w:rsidR="00CD2FB2" w:rsidRPr="00E0179E" w:rsidTr="00E0179E">
        <w:trPr>
          <w:trHeight w:val="340"/>
        </w:trPr>
        <w:tc>
          <w:tcPr>
            <w:tcW w:w="1985" w:type="dxa"/>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r w:rsidRPr="00E0179E">
              <w:rPr>
                <w:rFonts w:asciiTheme="majorHAnsi" w:hAnsiTheme="majorHAnsi"/>
                <w:bCs/>
                <w:sz w:val="20"/>
                <w:szCs w:val="20"/>
                <w:lang w:val="en-US"/>
              </w:rPr>
              <w:t>P</w:t>
            </w:r>
            <w:r w:rsidRPr="00E0179E">
              <w:rPr>
                <w:rFonts w:asciiTheme="majorHAnsi" w:hAnsiTheme="majorHAnsi"/>
                <w:bCs/>
                <w:sz w:val="20"/>
                <w:szCs w:val="20"/>
                <w:vertAlign w:val="subscript"/>
                <w:lang w:val="en-US"/>
              </w:rPr>
              <w:t>4</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0.9667</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0.9669</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0.9674</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0.9662</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0.9670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0.9667</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0.9409</w:t>
            </w:r>
          </w:p>
        </w:tc>
      </w:tr>
      <w:tr w:rsidR="00CD2FB2" w:rsidRPr="00E0179E" w:rsidTr="00E0179E">
        <w:trPr>
          <w:trHeight w:val="340"/>
        </w:trPr>
        <w:tc>
          <w:tcPr>
            <w:tcW w:w="1985" w:type="dxa"/>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(0.9330 - 0.9890)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(0.9340 - 0.9890)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(0.9360 - 0.9890)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(0.9320 - 0.9880)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(0.9360 - 0.9880)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(0.9340 - 0.9890)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(0.9280 - 0.9520)</w:t>
            </w:r>
          </w:p>
        </w:tc>
      </w:tr>
    </w:tbl>
    <w:p w:rsidR="00CD2FB2" w:rsidRPr="00E0179E" w:rsidRDefault="00CD2FB2" w:rsidP="00E0179E">
      <w:pPr>
        <w:spacing w:line="276" w:lineRule="auto"/>
        <w:rPr>
          <w:rFonts w:asciiTheme="majorHAnsi" w:hAnsiTheme="majorHAnsi"/>
          <w:sz w:val="22"/>
          <w:szCs w:val="22"/>
        </w:rPr>
      </w:pPr>
    </w:p>
    <w:p w:rsidR="00CD2FB2" w:rsidRPr="00E0179E" w:rsidRDefault="00CD2FB2" w:rsidP="00E0179E">
      <w:pPr>
        <w:autoSpaceDE w:val="0"/>
        <w:autoSpaceDN w:val="0"/>
        <w:adjustRightInd w:val="0"/>
        <w:spacing w:line="276" w:lineRule="auto"/>
        <w:rPr>
          <w:rFonts w:asciiTheme="majorHAnsi" w:hAnsiTheme="majorHAnsi"/>
          <w:b/>
          <w:sz w:val="22"/>
          <w:szCs w:val="22"/>
        </w:rPr>
      </w:pPr>
      <w:r w:rsidRPr="00E0179E">
        <w:rPr>
          <w:rFonts w:asciiTheme="majorHAnsi" w:hAnsiTheme="majorHAnsi"/>
          <w:b/>
          <w:iCs/>
          <w:sz w:val="22"/>
          <w:szCs w:val="22"/>
        </w:rPr>
        <w:t>(</w:t>
      </w:r>
      <w:r w:rsidR="00155BD9">
        <w:rPr>
          <w:rFonts w:asciiTheme="majorHAnsi" w:hAnsiTheme="majorHAnsi"/>
          <w:b/>
          <w:iCs/>
          <w:sz w:val="22"/>
          <w:szCs w:val="22"/>
        </w:rPr>
        <w:t>B</w:t>
      </w:r>
      <w:r w:rsidRPr="00E0179E">
        <w:rPr>
          <w:rFonts w:asciiTheme="majorHAnsi" w:hAnsiTheme="majorHAnsi"/>
          <w:b/>
          <w:iCs/>
          <w:sz w:val="22"/>
          <w:szCs w:val="22"/>
        </w:rPr>
        <w:t>)</w:t>
      </w:r>
      <w:r w:rsidRPr="00E0179E">
        <w:rPr>
          <w:rFonts w:asciiTheme="majorHAnsi" w:hAnsiTheme="majorHAnsi"/>
          <w:b/>
          <w:sz w:val="22"/>
          <w:szCs w:val="22"/>
        </w:rPr>
        <w:t xml:space="preserve"> Mean values of posterior distributions of</w:t>
      </w:r>
      <w:r w:rsidRPr="00E0179E">
        <w:rPr>
          <w:rFonts w:asciiTheme="majorHAnsi" w:hAnsiTheme="majorHAnsi"/>
          <w:b/>
          <w:i/>
          <w:iCs/>
          <w:sz w:val="22"/>
          <w:szCs w:val="22"/>
        </w:rPr>
        <w:t xml:space="preserve"> I </w:t>
      </w:r>
      <w:r w:rsidRPr="00E0179E">
        <w:rPr>
          <w:rFonts w:asciiTheme="majorHAnsi" w:hAnsiTheme="majorHAnsi"/>
          <w:b/>
          <w:sz w:val="22"/>
          <w:szCs w:val="22"/>
        </w:rPr>
        <w:t>(</w:t>
      </w:r>
      <w:r w:rsidRPr="00E0179E">
        <w:rPr>
          <w:rFonts w:asciiTheme="majorHAnsi" w:hAnsiTheme="majorHAnsi"/>
          <w:b/>
          <w:i/>
          <w:iCs/>
          <w:sz w:val="22"/>
          <w:szCs w:val="22"/>
        </w:rPr>
        <w:t>P</w:t>
      </w:r>
      <w:r w:rsidRPr="00E0179E">
        <w:rPr>
          <w:rFonts w:asciiTheme="majorHAnsi" w:hAnsiTheme="majorHAnsi"/>
          <w:b/>
          <w:sz w:val="22"/>
          <w:szCs w:val="22"/>
        </w:rPr>
        <w:t>/</w:t>
      </w:r>
      <w:r w:rsidRPr="00E0179E">
        <w:rPr>
          <w:rFonts w:asciiTheme="majorHAnsi" w:hAnsiTheme="majorHAnsi"/>
          <w:b/>
          <w:i/>
          <w:iCs/>
          <w:sz w:val="22"/>
          <w:szCs w:val="22"/>
        </w:rPr>
        <w:t>N</w:t>
      </w:r>
      <w:r w:rsidRPr="00E0179E">
        <w:rPr>
          <w:rFonts w:asciiTheme="majorHAnsi" w:hAnsiTheme="majorHAnsi"/>
          <w:b/>
          <w:sz w:val="22"/>
          <w:szCs w:val="22"/>
        </w:rPr>
        <w:t>) with 95 % support limits below in parenthesis.</w:t>
      </w:r>
    </w:p>
    <w:tbl>
      <w:tblPr>
        <w:tblW w:w="14283" w:type="dxa"/>
        <w:tblInd w:w="93" w:type="dxa"/>
        <w:tblBorders>
          <w:top w:val="single" w:sz="4" w:space="0" w:color="auto"/>
          <w:bottom w:val="single" w:sz="4" w:space="0" w:color="auto"/>
        </w:tblBorders>
        <w:tblLook w:val="04A0" w:firstRow="1" w:lastRow="0" w:firstColumn="1" w:lastColumn="0" w:noHBand="0" w:noVBand="1"/>
      </w:tblPr>
      <w:tblGrid>
        <w:gridCol w:w="1984"/>
        <w:gridCol w:w="1757"/>
        <w:gridCol w:w="1757"/>
        <w:gridCol w:w="1757"/>
        <w:gridCol w:w="1757"/>
        <w:gridCol w:w="1757"/>
        <w:gridCol w:w="1757"/>
        <w:gridCol w:w="1757"/>
      </w:tblGrid>
      <w:tr w:rsidR="00CD2FB2" w:rsidRPr="00E0179E" w:rsidTr="00E0179E">
        <w:trPr>
          <w:trHeight w:val="340"/>
        </w:trPr>
        <w:tc>
          <w:tcPr>
            <w:tcW w:w="1984"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Run:</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Definitive</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Adjusted</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Adjusted</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Adjusted</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Adjusted</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Adjusted</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Null</w:t>
            </w:r>
          </w:p>
        </w:tc>
      </w:tr>
      <w:tr w:rsidR="00CD2FB2" w:rsidRPr="00E0179E" w:rsidTr="00E0179E">
        <w:trPr>
          <w:trHeight w:val="340"/>
        </w:trPr>
        <w:tc>
          <w:tcPr>
            <w:tcW w:w="1984"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Starting point:</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0.1, 0.7</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0.001, 0.1</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0.3, 0.1</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0.1, 0.7</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0.1, 0.7</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0.1, 0.7</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0.1, 0.7</w:t>
            </w:r>
          </w:p>
        </w:tc>
      </w:tr>
      <w:tr w:rsidR="00CD2FB2" w:rsidRPr="00E0179E" w:rsidTr="00E0179E">
        <w:trPr>
          <w:trHeight w:val="340"/>
        </w:trPr>
        <w:tc>
          <w:tcPr>
            <w:tcW w:w="1984"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Prior distribution:</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normal</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normal</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normal</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shallow, 2x sd</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shallow, 3x sd</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shallow, 4x sd</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flat</w:t>
            </w:r>
          </w:p>
        </w:tc>
      </w:tr>
      <w:tr w:rsidR="00CD2FB2" w:rsidRPr="00E0179E" w:rsidTr="00E0179E">
        <w:trPr>
          <w:trHeight w:val="340"/>
        </w:trPr>
        <w:tc>
          <w:tcPr>
            <w:tcW w:w="1984"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r w:rsidRPr="00E0179E">
              <w:rPr>
                <w:rFonts w:asciiTheme="majorHAnsi" w:hAnsiTheme="majorHAnsi"/>
                <w:bCs/>
                <w:sz w:val="20"/>
                <w:szCs w:val="20"/>
                <w:lang w:val="en-US"/>
              </w:rPr>
              <w:t>P</w:t>
            </w:r>
            <w:r w:rsidRPr="00E0179E">
              <w:rPr>
                <w:rFonts w:asciiTheme="majorHAnsi" w:hAnsiTheme="majorHAnsi"/>
                <w:bCs/>
                <w:sz w:val="20"/>
                <w:szCs w:val="20"/>
                <w:vertAlign w:val="subscript"/>
                <w:lang w:val="en-US"/>
              </w:rPr>
              <w:t>1</w:t>
            </w:r>
            <w:r w:rsidRPr="00E0179E">
              <w:rPr>
                <w:rFonts w:asciiTheme="majorHAnsi" w:hAnsiTheme="majorHAnsi"/>
                <w:bCs/>
                <w:sz w:val="20"/>
                <w:szCs w:val="20"/>
                <w:lang w:val="en-US"/>
              </w:rPr>
              <w:t>/N</w:t>
            </w:r>
            <w:r w:rsidRPr="00E0179E">
              <w:rPr>
                <w:rFonts w:asciiTheme="majorHAnsi" w:hAnsiTheme="majorHAnsi"/>
                <w:bCs/>
                <w:sz w:val="20"/>
                <w:szCs w:val="20"/>
                <w:vertAlign w:val="subscript"/>
                <w:lang w:val="en-US"/>
              </w:rPr>
              <w:t>1</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0.0001</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0.0001</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0.0001</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0.0001</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0.0001</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0.0001</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0.0004</w:t>
            </w:r>
          </w:p>
        </w:tc>
      </w:tr>
      <w:tr w:rsidR="00CD2FB2" w:rsidRPr="00E0179E" w:rsidTr="00E0179E">
        <w:trPr>
          <w:trHeight w:val="340"/>
        </w:trPr>
        <w:tc>
          <w:tcPr>
            <w:tcW w:w="1984" w:type="dxa"/>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(0.0000 - 0.0003)</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(0.0000 - 0.0003)</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(0.0000 - 0.0003)</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(0.0000 - 0.0003)</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(0.0000 - 0.0003)</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(0.0000 - 0.0003)</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(0.0003 - 0.0005)</w:t>
            </w:r>
          </w:p>
        </w:tc>
      </w:tr>
      <w:tr w:rsidR="00CD2FB2" w:rsidRPr="00E0179E" w:rsidTr="00E0179E">
        <w:trPr>
          <w:trHeight w:val="340"/>
        </w:trPr>
        <w:tc>
          <w:tcPr>
            <w:tcW w:w="1984" w:type="dxa"/>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r w:rsidRPr="00E0179E">
              <w:rPr>
                <w:rFonts w:asciiTheme="majorHAnsi" w:hAnsiTheme="majorHAnsi"/>
                <w:bCs/>
                <w:sz w:val="20"/>
                <w:szCs w:val="20"/>
                <w:lang w:val="en-US"/>
              </w:rPr>
              <w:t>P</w:t>
            </w:r>
            <w:r w:rsidRPr="00E0179E">
              <w:rPr>
                <w:rFonts w:asciiTheme="majorHAnsi" w:hAnsiTheme="majorHAnsi"/>
                <w:bCs/>
                <w:sz w:val="20"/>
                <w:szCs w:val="20"/>
                <w:vertAlign w:val="subscript"/>
                <w:lang w:val="en-US"/>
              </w:rPr>
              <w:t>2</w:t>
            </w:r>
            <w:r w:rsidRPr="00E0179E">
              <w:rPr>
                <w:rFonts w:asciiTheme="majorHAnsi" w:hAnsiTheme="majorHAnsi"/>
                <w:bCs/>
                <w:sz w:val="20"/>
                <w:szCs w:val="20"/>
                <w:lang w:val="en-US"/>
              </w:rPr>
              <w:t>/N</w:t>
            </w:r>
            <w:r w:rsidRPr="00E0179E">
              <w:rPr>
                <w:rFonts w:asciiTheme="majorHAnsi" w:hAnsiTheme="majorHAnsi"/>
                <w:bCs/>
                <w:sz w:val="20"/>
                <w:szCs w:val="20"/>
                <w:vertAlign w:val="subscript"/>
                <w:lang w:val="en-US"/>
              </w:rPr>
              <w:t>2</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0.0002</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0.0002</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0.0002</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0.0002</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0.0002</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0.0002</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0.0004</w:t>
            </w:r>
          </w:p>
        </w:tc>
      </w:tr>
      <w:tr w:rsidR="00CD2FB2" w:rsidRPr="00E0179E" w:rsidTr="00E0179E">
        <w:trPr>
          <w:trHeight w:val="340"/>
        </w:trPr>
        <w:tc>
          <w:tcPr>
            <w:tcW w:w="1984" w:type="dxa"/>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(0.0000 - 0.0008)</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(0.0000 - 0.0008)</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(0.0000 - 0.0008)</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(0.0000 - 0.0008)</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(0.0000 - 0.0007)</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(0.0000 - 0.0008)</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(0.0003 - 0.0005)</w:t>
            </w:r>
          </w:p>
        </w:tc>
      </w:tr>
      <w:tr w:rsidR="00CD2FB2" w:rsidRPr="00E0179E" w:rsidTr="00E0179E">
        <w:trPr>
          <w:trHeight w:val="340"/>
        </w:trPr>
        <w:tc>
          <w:tcPr>
            <w:tcW w:w="1984" w:type="dxa"/>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r w:rsidRPr="00E0179E">
              <w:rPr>
                <w:rFonts w:asciiTheme="majorHAnsi" w:hAnsiTheme="majorHAnsi"/>
                <w:bCs/>
                <w:sz w:val="20"/>
                <w:szCs w:val="20"/>
                <w:lang w:val="en-US"/>
              </w:rPr>
              <w:t>P</w:t>
            </w:r>
            <w:r w:rsidRPr="00E0179E">
              <w:rPr>
                <w:rFonts w:asciiTheme="majorHAnsi" w:hAnsiTheme="majorHAnsi"/>
                <w:bCs/>
                <w:sz w:val="20"/>
                <w:szCs w:val="20"/>
                <w:vertAlign w:val="subscript"/>
                <w:lang w:val="en-US"/>
              </w:rPr>
              <w:t>3</w:t>
            </w:r>
            <w:r w:rsidRPr="00E0179E">
              <w:rPr>
                <w:rFonts w:asciiTheme="majorHAnsi" w:hAnsiTheme="majorHAnsi"/>
                <w:bCs/>
                <w:sz w:val="20"/>
                <w:szCs w:val="20"/>
                <w:lang w:val="en-US"/>
              </w:rPr>
              <w:t>/N</w:t>
            </w:r>
            <w:r w:rsidRPr="00E0179E">
              <w:rPr>
                <w:rFonts w:asciiTheme="majorHAnsi" w:hAnsiTheme="majorHAnsi"/>
                <w:bCs/>
                <w:sz w:val="20"/>
                <w:szCs w:val="20"/>
                <w:vertAlign w:val="subscript"/>
                <w:lang w:val="en-US"/>
              </w:rPr>
              <w:t>3</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0.0007</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0.0006</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0.0006</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0.0006</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0.0006</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0.0006</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0.0004</w:t>
            </w:r>
          </w:p>
        </w:tc>
      </w:tr>
      <w:tr w:rsidR="00CD2FB2" w:rsidRPr="00E0179E" w:rsidTr="00E0179E">
        <w:trPr>
          <w:trHeight w:val="340"/>
        </w:trPr>
        <w:tc>
          <w:tcPr>
            <w:tcW w:w="1984" w:type="dxa"/>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(0.0001 - 0.0017)</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(0.0001 - 0.0017)</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(0.0001 - 0.0016)</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(0.0001 - 0.0017)</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(0.0001 - 0.0016)</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(0.0001 - 0.0017)</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(0.0003 - 0.0005)</w:t>
            </w:r>
          </w:p>
        </w:tc>
      </w:tr>
      <w:tr w:rsidR="00CD2FB2" w:rsidRPr="00E0179E" w:rsidTr="00E0179E">
        <w:trPr>
          <w:trHeight w:val="340"/>
        </w:trPr>
        <w:tc>
          <w:tcPr>
            <w:tcW w:w="1984" w:type="dxa"/>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r w:rsidRPr="00E0179E">
              <w:rPr>
                <w:rFonts w:asciiTheme="majorHAnsi" w:hAnsiTheme="majorHAnsi"/>
                <w:bCs/>
                <w:sz w:val="20"/>
                <w:szCs w:val="20"/>
                <w:lang w:val="en-US"/>
              </w:rPr>
              <w:t>P</w:t>
            </w:r>
            <w:r w:rsidRPr="00E0179E">
              <w:rPr>
                <w:rFonts w:asciiTheme="majorHAnsi" w:hAnsiTheme="majorHAnsi"/>
                <w:bCs/>
                <w:sz w:val="20"/>
                <w:szCs w:val="20"/>
                <w:vertAlign w:val="subscript"/>
                <w:lang w:val="en-US"/>
              </w:rPr>
              <w:t>4</w:t>
            </w:r>
            <w:r w:rsidRPr="00E0179E">
              <w:rPr>
                <w:rFonts w:asciiTheme="majorHAnsi" w:hAnsiTheme="majorHAnsi"/>
                <w:bCs/>
                <w:sz w:val="20"/>
                <w:szCs w:val="20"/>
                <w:lang w:val="en-US"/>
              </w:rPr>
              <w:t>/N</w:t>
            </w:r>
            <w:r w:rsidRPr="00E0179E">
              <w:rPr>
                <w:rFonts w:asciiTheme="majorHAnsi" w:hAnsiTheme="majorHAnsi"/>
                <w:bCs/>
                <w:sz w:val="20"/>
                <w:szCs w:val="20"/>
                <w:vertAlign w:val="subscript"/>
                <w:lang w:val="en-US"/>
              </w:rPr>
              <w:t>4</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0.0004</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0.0004</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0.0004</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0.0004</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0.0003</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0.0003</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0.0004</w:t>
            </w:r>
          </w:p>
        </w:tc>
      </w:tr>
      <w:tr w:rsidR="00CD2FB2" w:rsidRPr="00E0179E" w:rsidTr="00E0179E">
        <w:trPr>
          <w:trHeight w:val="340"/>
        </w:trPr>
        <w:tc>
          <w:tcPr>
            <w:tcW w:w="1984" w:type="dxa"/>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(0.0003 - 0.0005)</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(0.0003 - 0.0005)</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(0.0004 - 0.0005)</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(0.0003 - 0.0004)</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(0.0003 - 0.0004)</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(0.0003 - 0.0004)</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(0.0003 - 0.0005)</w:t>
            </w:r>
          </w:p>
        </w:tc>
      </w:tr>
    </w:tbl>
    <w:p w:rsidR="00CD2FB2" w:rsidRPr="00E0179E" w:rsidRDefault="00CD2FB2" w:rsidP="00E0179E">
      <w:pPr>
        <w:spacing w:line="276" w:lineRule="auto"/>
        <w:rPr>
          <w:rFonts w:asciiTheme="majorHAnsi" w:hAnsiTheme="majorHAnsi"/>
          <w:sz w:val="22"/>
          <w:szCs w:val="22"/>
        </w:rPr>
      </w:pPr>
    </w:p>
    <w:p w:rsidR="00CD2FB2" w:rsidRPr="00E0179E" w:rsidRDefault="00E0179E" w:rsidP="00E0179E">
      <w:pPr>
        <w:spacing w:line="276" w:lineRule="auto"/>
        <w:rPr>
          <w:rFonts w:asciiTheme="majorHAnsi" w:hAnsiTheme="majorHAnsi"/>
          <w:b/>
          <w:sz w:val="22"/>
          <w:szCs w:val="22"/>
        </w:rPr>
      </w:pPr>
      <w:r>
        <w:rPr>
          <w:rFonts w:asciiTheme="majorHAnsi" w:hAnsiTheme="majorHAnsi"/>
          <w:b/>
          <w:sz w:val="22"/>
          <w:szCs w:val="22"/>
        </w:rPr>
        <w:t>(</w:t>
      </w:r>
      <w:r w:rsidR="00155BD9">
        <w:rPr>
          <w:rFonts w:asciiTheme="majorHAnsi" w:hAnsiTheme="majorHAnsi"/>
          <w:b/>
          <w:sz w:val="22"/>
          <w:szCs w:val="22"/>
        </w:rPr>
        <w:t>C</w:t>
      </w:r>
      <w:r w:rsidR="00CD2FB2" w:rsidRPr="00E0179E">
        <w:rPr>
          <w:rFonts w:asciiTheme="majorHAnsi" w:hAnsiTheme="majorHAnsi"/>
          <w:b/>
          <w:sz w:val="22"/>
          <w:szCs w:val="22"/>
        </w:rPr>
        <w:t>) Mean values of posterior distributions of</w:t>
      </w:r>
      <w:r w:rsidR="00CD2FB2" w:rsidRPr="00E0179E">
        <w:rPr>
          <w:rFonts w:asciiTheme="majorHAnsi" w:hAnsiTheme="majorHAnsi"/>
          <w:b/>
          <w:i/>
          <w:iCs/>
          <w:sz w:val="22"/>
          <w:szCs w:val="22"/>
        </w:rPr>
        <w:t xml:space="preserve"> N</w:t>
      </w:r>
      <w:r w:rsidR="00CD2FB2" w:rsidRPr="00E0179E">
        <w:rPr>
          <w:rFonts w:asciiTheme="majorHAnsi" w:hAnsiTheme="majorHAnsi"/>
          <w:b/>
          <w:sz w:val="22"/>
          <w:szCs w:val="22"/>
        </w:rPr>
        <w:t xml:space="preserve"> with 95 % support limits below in parenthesis.</w:t>
      </w:r>
    </w:p>
    <w:tbl>
      <w:tblPr>
        <w:tblpPr w:leftFromText="180" w:rightFromText="180" w:vertAnchor="text" w:horzAnchor="margin" w:tblpX="93" w:tblpY="17"/>
        <w:tblW w:w="14283" w:type="dxa"/>
        <w:tblBorders>
          <w:top w:val="single" w:sz="4" w:space="0" w:color="auto"/>
          <w:bottom w:val="single" w:sz="4" w:space="0" w:color="auto"/>
        </w:tblBorders>
        <w:tblLook w:val="04A0" w:firstRow="1" w:lastRow="0" w:firstColumn="1" w:lastColumn="0" w:noHBand="0" w:noVBand="1"/>
      </w:tblPr>
      <w:tblGrid>
        <w:gridCol w:w="1984"/>
        <w:gridCol w:w="1757"/>
        <w:gridCol w:w="1757"/>
        <w:gridCol w:w="1757"/>
        <w:gridCol w:w="1757"/>
        <w:gridCol w:w="1757"/>
        <w:gridCol w:w="1757"/>
        <w:gridCol w:w="1757"/>
      </w:tblGrid>
      <w:tr w:rsidR="00CD2FB2" w:rsidRPr="00E0179E" w:rsidTr="00E0179E">
        <w:trPr>
          <w:trHeight w:val="340"/>
        </w:trPr>
        <w:tc>
          <w:tcPr>
            <w:tcW w:w="1984"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Run:</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Definitive</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Adjusted</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Adjusted</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Adjusted</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Adjusted</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Adjusted</w:t>
            </w:r>
          </w:p>
        </w:tc>
        <w:tc>
          <w:tcPr>
            <w:tcW w:w="1757" w:type="dxa"/>
            <w:tcBorders>
              <w:top w:val="single" w:sz="4" w:space="0" w:color="auto"/>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Null</w:t>
            </w:r>
          </w:p>
        </w:tc>
      </w:tr>
      <w:tr w:rsidR="00CD2FB2" w:rsidRPr="00E0179E" w:rsidTr="00E0179E">
        <w:trPr>
          <w:trHeight w:val="340"/>
        </w:trPr>
        <w:tc>
          <w:tcPr>
            <w:tcW w:w="1984"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Starting point:</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0.1, 0.7</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0.001, 0.1</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0.3, 0.1</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0.1, 0.7</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0.1, 0.7</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0.1, 0.7</w:t>
            </w:r>
          </w:p>
        </w:tc>
        <w:tc>
          <w:tcPr>
            <w:tcW w:w="1757" w:type="dxa"/>
            <w:tcBorders>
              <w:top w:val="nil"/>
              <w:bottom w:val="nil"/>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0.1, 0.7</w:t>
            </w:r>
          </w:p>
        </w:tc>
      </w:tr>
      <w:tr w:rsidR="00CD2FB2" w:rsidRPr="00E0179E" w:rsidTr="00E0179E">
        <w:trPr>
          <w:trHeight w:val="340"/>
        </w:trPr>
        <w:tc>
          <w:tcPr>
            <w:tcW w:w="1984"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Prior distribution:</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normal</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normal</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normal</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shallow, 2x sd</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shallow, 3x sd</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shallow, 4x sd</w:t>
            </w:r>
          </w:p>
        </w:tc>
        <w:tc>
          <w:tcPr>
            <w:tcW w:w="1757" w:type="dxa"/>
            <w:tcBorders>
              <w:top w:val="nil"/>
              <w:bottom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flat</w:t>
            </w:r>
          </w:p>
        </w:tc>
      </w:tr>
      <w:tr w:rsidR="00CD2FB2" w:rsidRPr="00E0179E" w:rsidTr="00E0179E">
        <w:trPr>
          <w:trHeight w:val="340"/>
        </w:trPr>
        <w:tc>
          <w:tcPr>
            <w:tcW w:w="1984"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r w:rsidRPr="00E0179E">
              <w:rPr>
                <w:rFonts w:asciiTheme="majorHAnsi" w:hAnsiTheme="majorHAnsi"/>
                <w:bCs/>
                <w:sz w:val="20"/>
                <w:szCs w:val="20"/>
                <w:lang w:val="en-US"/>
              </w:rPr>
              <w:t>N</w:t>
            </w:r>
            <w:r w:rsidRPr="00E0179E">
              <w:rPr>
                <w:rFonts w:asciiTheme="majorHAnsi" w:hAnsiTheme="majorHAnsi"/>
                <w:bCs/>
                <w:sz w:val="20"/>
                <w:szCs w:val="20"/>
                <w:vertAlign w:val="subscript"/>
                <w:lang w:val="en-US"/>
              </w:rPr>
              <w:t>1</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91</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91</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91</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94</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97</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101</w:t>
            </w:r>
          </w:p>
        </w:tc>
        <w:tc>
          <w:tcPr>
            <w:tcW w:w="1757" w:type="dxa"/>
            <w:tcBorders>
              <w:top w:val="single" w:sz="4" w:space="0" w:color="auto"/>
            </w:tcBorders>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91</w:t>
            </w:r>
          </w:p>
        </w:tc>
      </w:tr>
      <w:tr w:rsidR="00CD2FB2" w:rsidRPr="00E0179E" w:rsidTr="00E0179E">
        <w:trPr>
          <w:trHeight w:val="340"/>
        </w:trPr>
        <w:tc>
          <w:tcPr>
            <w:tcW w:w="1984" w:type="dxa"/>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(85 - 102)</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(85 - 103)</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(85 - 101)</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(85 - 114)</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(85 - 121)</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(85 - 135)</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(85 - 102)</w:t>
            </w:r>
          </w:p>
        </w:tc>
      </w:tr>
      <w:tr w:rsidR="00CD2FB2" w:rsidRPr="00E0179E" w:rsidTr="00E0179E">
        <w:trPr>
          <w:trHeight w:val="340"/>
        </w:trPr>
        <w:tc>
          <w:tcPr>
            <w:tcW w:w="1984" w:type="dxa"/>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r w:rsidRPr="00E0179E">
              <w:rPr>
                <w:rFonts w:asciiTheme="majorHAnsi" w:hAnsiTheme="majorHAnsi"/>
                <w:bCs/>
                <w:sz w:val="20"/>
                <w:szCs w:val="20"/>
                <w:lang w:val="en-US"/>
              </w:rPr>
              <w:t>N</w:t>
            </w:r>
            <w:r w:rsidRPr="00E0179E">
              <w:rPr>
                <w:rFonts w:asciiTheme="majorHAnsi" w:hAnsiTheme="majorHAnsi"/>
                <w:bCs/>
                <w:sz w:val="20"/>
                <w:szCs w:val="20"/>
                <w:vertAlign w:val="subscript"/>
                <w:lang w:val="en-US"/>
              </w:rPr>
              <w:t>2</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35</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35</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36</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41</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46</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38</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33</w:t>
            </w:r>
          </w:p>
        </w:tc>
      </w:tr>
      <w:tr w:rsidR="00CD2FB2" w:rsidRPr="00E0179E" w:rsidTr="00E0179E">
        <w:trPr>
          <w:trHeight w:val="340"/>
        </w:trPr>
        <w:tc>
          <w:tcPr>
            <w:tcW w:w="1984" w:type="dxa"/>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(26 - 56)</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(26 - 56)</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(26 - 61)</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(26 - 72)</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(26 - 95)</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(26 - 68)</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(26 - 51)</w:t>
            </w:r>
          </w:p>
        </w:tc>
      </w:tr>
      <w:tr w:rsidR="00CD2FB2" w:rsidRPr="00E0179E" w:rsidTr="00E0179E">
        <w:trPr>
          <w:trHeight w:val="340"/>
        </w:trPr>
        <w:tc>
          <w:tcPr>
            <w:tcW w:w="1984" w:type="dxa"/>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r w:rsidRPr="00E0179E">
              <w:rPr>
                <w:rFonts w:asciiTheme="majorHAnsi" w:hAnsiTheme="majorHAnsi"/>
                <w:bCs/>
                <w:sz w:val="20"/>
                <w:szCs w:val="20"/>
                <w:lang w:val="en-US"/>
              </w:rPr>
              <w:t>N</w:t>
            </w:r>
            <w:r w:rsidRPr="00E0179E">
              <w:rPr>
                <w:rFonts w:asciiTheme="majorHAnsi" w:hAnsiTheme="majorHAnsi"/>
                <w:bCs/>
                <w:sz w:val="20"/>
                <w:szCs w:val="20"/>
                <w:vertAlign w:val="subscript"/>
                <w:lang w:val="en-US"/>
              </w:rPr>
              <w:t>3</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26</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27</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26</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30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30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29</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27</w:t>
            </w:r>
          </w:p>
        </w:tc>
      </w:tr>
      <w:tr w:rsidR="00CD2FB2" w:rsidRPr="00E0179E" w:rsidTr="00E0179E">
        <w:trPr>
          <w:trHeight w:val="340"/>
        </w:trPr>
        <w:tc>
          <w:tcPr>
            <w:tcW w:w="1984" w:type="dxa"/>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(20 - 40)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(20 - 42)</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(20 - 42)</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(20 - 50)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(20 - 63)</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(20 - 56)</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(20 - 43)</w:t>
            </w:r>
          </w:p>
        </w:tc>
      </w:tr>
      <w:tr w:rsidR="00CD2FB2" w:rsidRPr="00E0179E" w:rsidTr="00E0179E">
        <w:trPr>
          <w:trHeight w:val="340"/>
        </w:trPr>
        <w:tc>
          <w:tcPr>
            <w:tcW w:w="1984" w:type="dxa"/>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r w:rsidRPr="00E0179E">
              <w:rPr>
                <w:rFonts w:asciiTheme="majorHAnsi" w:hAnsiTheme="majorHAnsi"/>
                <w:bCs/>
                <w:sz w:val="20"/>
                <w:szCs w:val="20"/>
                <w:lang w:val="en-US"/>
              </w:rPr>
              <w:t>N</w:t>
            </w:r>
            <w:r w:rsidRPr="00E0179E">
              <w:rPr>
                <w:rFonts w:asciiTheme="majorHAnsi" w:hAnsiTheme="majorHAnsi"/>
                <w:bCs/>
                <w:sz w:val="20"/>
                <w:szCs w:val="20"/>
                <w:vertAlign w:val="subscript"/>
                <w:lang w:val="en-US"/>
              </w:rPr>
              <w:t>4</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2438</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2406</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2375</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2767</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2809</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2858</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2439</w:t>
            </w:r>
          </w:p>
        </w:tc>
      </w:tr>
      <w:tr w:rsidR="00CD2FB2" w:rsidRPr="00E0179E" w:rsidTr="00E0179E">
        <w:trPr>
          <w:trHeight w:val="340"/>
        </w:trPr>
        <w:tc>
          <w:tcPr>
            <w:tcW w:w="1984" w:type="dxa"/>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(2020 - 2810)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(2050 - 2760)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(1970 - 2730)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(2370 - 2990)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(2380 - 2990)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(2490 - 2990)</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(2040 - 2830)</w:t>
            </w:r>
          </w:p>
        </w:tc>
      </w:tr>
      <w:tr w:rsidR="00CD2FB2" w:rsidRPr="00E0179E" w:rsidTr="00E0179E">
        <w:trPr>
          <w:trHeight w:val="340"/>
        </w:trPr>
        <w:tc>
          <w:tcPr>
            <w:tcW w:w="1984" w:type="dxa"/>
            <w:shd w:val="clear" w:color="auto" w:fill="auto"/>
            <w:noWrap/>
            <w:vAlign w:val="bottom"/>
            <w:hideMark/>
          </w:tcPr>
          <w:p w:rsidR="00CD2FB2" w:rsidRPr="00E0179E" w:rsidRDefault="00CD2FB2" w:rsidP="00E0179E">
            <w:pPr>
              <w:spacing w:line="276" w:lineRule="auto"/>
              <w:rPr>
                <w:rFonts w:asciiTheme="majorHAnsi" w:hAnsiTheme="majorHAnsi"/>
                <w:bCs/>
                <w:sz w:val="20"/>
                <w:szCs w:val="20"/>
                <w:lang w:val="en-US"/>
              </w:rPr>
            </w:pPr>
            <w:r w:rsidRPr="00E0179E">
              <w:rPr>
                <w:rFonts w:asciiTheme="majorHAnsi" w:hAnsiTheme="majorHAnsi"/>
                <w:bCs/>
                <w:sz w:val="20"/>
                <w:szCs w:val="20"/>
                <w:lang w:val="en-US"/>
              </w:rPr>
              <w:t>N</w:t>
            </w:r>
            <w:r w:rsidRPr="00E0179E">
              <w:rPr>
                <w:rFonts w:asciiTheme="majorHAnsi" w:hAnsiTheme="majorHAnsi"/>
                <w:bCs/>
                <w:sz w:val="20"/>
                <w:szCs w:val="20"/>
                <w:vertAlign w:val="subscript"/>
                <w:lang w:val="en-US"/>
              </w:rPr>
              <w:t>f</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207</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207</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211</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226</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227</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228</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209</w:t>
            </w:r>
          </w:p>
        </w:tc>
      </w:tr>
      <w:tr w:rsidR="00CD2FB2" w:rsidRPr="00E0179E" w:rsidTr="00E0179E">
        <w:trPr>
          <w:trHeight w:val="340"/>
        </w:trPr>
        <w:tc>
          <w:tcPr>
            <w:tcW w:w="1984" w:type="dxa"/>
            <w:shd w:val="clear" w:color="auto" w:fill="auto"/>
            <w:noWrap/>
            <w:vAlign w:val="bottom"/>
            <w:hideMark/>
          </w:tcPr>
          <w:p w:rsidR="00CD2FB2" w:rsidRPr="00E0179E" w:rsidRDefault="00CD2FB2" w:rsidP="00E0179E">
            <w:pPr>
              <w:spacing w:line="276" w:lineRule="auto"/>
              <w:rPr>
                <w:rFonts w:asciiTheme="majorHAnsi" w:hAnsiTheme="majorHAnsi"/>
                <w:b/>
                <w:bCs/>
                <w:sz w:val="20"/>
                <w:szCs w:val="20"/>
                <w:lang w:val="en-US"/>
              </w:rPr>
            </w:pPr>
            <w:r w:rsidRPr="00E0179E">
              <w:rPr>
                <w:rFonts w:asciiTheme="majorHAnsi" w:hAnsiTheme="majorHAnsi"/>
                <w:b/>
                <w:bCs/>
                <w:sz w:val="20"/>
                <w:szCs w:val="20"/>
                <w:lang w:val="en-US"/>
              </w:rPr>
              <w:t> </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(189 - 227)</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(188 - 229)</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(193 - 233)</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(202 - 258)</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(199 - 259)</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(201 - 262)</w:t>
            </w:r>
          </w:p>
        </w:tc>
        <w:tc>
          <w:tcPr>
            <w:tcW w:w="1757" w:type="dxa"/>
            <w:shd w:val="clear" w:color="auto" w:fill="auto"/>
            <w:noWrap/>
            <w:vAlign w:val="bottom"/>
            <w:hideMark/>
          </w:tcPr>
          <w:p w:rsidR="00CD2FB2" w:rsidRPr="00E0179E" w:rsidRDefault="00CD2FB2" w:rsidP="00E0179E">
            <w:pPr>
              <w:spacing w:line="276" w:lineRule="auto"/>
              <w:rPr>
                <w:rFonts w:asciiTheme="majorHAnsi" w:hAnsiTheme="majorHAnsi"/>
                <w:sz w:val="20"/>
                <w:szCs w:val="20"/>
                <w:lang w:val="en-US"/>
              </w:rPr>
            </w:pPr>
            <w:r w:rsidRPr="00E0179E">
              <w:rPr>
                <w:rFonts w:asciiTheme="majorHAnsi" w:hAnsiTheme="majorHAnsi"/>
                <w:sz w:val="20"/>
                <w:szCs w:val="20"/>
                <w:lang w:val="en-US"/>
              </w:rPr>
              <w:t>(191 - 229)</w:t>
            </w:r>
          </w:p>
        </w:tc>
      </w:tr>
    </w:tbl>
    <w:p w:rsidR="001F21F6" w:rsidRPr="00E0179E" w:rsidRDefault="001F21F6" w:rsidP="00E0179E">
      <w:pPr>
        <w:spacing w:line="276" w:lineRule="auto"/>
        <w:rPr>
          <w:rFonts w:asciiTheme="majorHAnsi" w:hAnsiTheme="majorHAnsi"/>
          <w:sz w:val="22"/>
          <w:szCs w:val="22"/>
        </w:rPr>
      </w:pPr>
    </w:p>
    <w:sectPr w:rsidR="001F21F6" w:rsidRPr="00E0179E" w:rsidSect="00CD2FB2">
      <w:pgSz w:w="15840" w:h="12240"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276C" w:rsidRDefault="0078276C" w:rsidP="00465F53">
      <w:r>
        <w:separator/>
      </w:r>
    </w:p>
  </w:endnote>
  <w:endnote w:type="continuationSeparator" w:id="0">
    <w:p w:rsidR="0078276C" w:rsidRDefault="0078276C" w:rsidP="0046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43" w:rsidRDefault="00C43A40" w:rsidP="00DE0F7B">
    <w:pPr>
      <w:pStyle w:val="Footer"/>
      <w:framePr w:wrap="around" w:vAnchor="text" w:hAnchor="margin" w:xAlign="center" w:y="1"/>
      <w:rPr>
        <w:rStyle w:val="PageNumber"/>
      </w:rPr>
    </w:pPr>
    <w:r>
      <w:rPr>
        <w:rStyle w:val="PageNumber"/>
      </w:rPr>
      <w:fldChar w:fldCharType="begin"/>
    </w:r>
    <w:r w:rsidR="00CD2FB2">
      <w:rPr>
        <w:rStyle w:val="PageNumber"/>
      </w:rPr>
      <w:instrText xml:space="preserve">PAGE  </w:instrText>
    </w:r>
    <w:r>
      <w:rPr>
        <w:rStyle w:val="PageNumber"/>
      </w:rPr>
      <w:fldChar w:fldCharType="end"/>
    </w:r>
  </w:p>
  <w:p w:rsidR="008B4743" w:rsidRDefault="0078276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743" w:rsidRDefault="00C43A40" w:rsidP="00DE0F7B">
    <w:pPr>
      <w:pStyle w:val="Footer"/>
      <w:framePr w:wrap="around" w:vAnchor="text" w:hAnchor="margin" w:xAlign="center" w:y="1"/>
      <w:rPr>
        <w:rStyle w:val="PageNumber"/>
      </w:rPr>
    </w:pPr>
    <w:r>
      <w:rPr>
        <w:rStyle w:val="PageNumber"/>
      </w:rPr>
      <w:fldChar w:fldCharType="begin"/>
    </w:r>
    <w:r w:rsidR="00CD2FB2">
      <w:rPr>
        <w:rStyle w:val="PageNumber"/>
      </w:rPr>
      <w:instrText xml:space="preserve">PAGE  </w:instrText>
    </w:r>
    <w:r>
      <w:rPr>
        <w:rStyle w:val="PageNumber"/>
      </w:rPr>
      <w:fldChar w:fldCharType="separate"/>
    </w:r>
    <w:r w:rsidR="003B0C91">
      <w:rPr>
        <w:rStyle w:val="PageNumber"/>
        <w:noProof/>
      </w:rPr>
      <w:t>2</w:t>
    </w:r>
    <w:r>
      <w:rPr>
        <w:rStyle w:val="PageNumber"/>
      </w:rPr>
      <w:fldChar w:fldCharType="end"/>
    </w:r>
  </w:p>
  <w:p w:rsidR="008B4743" w:rsidRDefault="0078276C" w:rsidP="00DE0F7B">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276C" w:rsidRDefault="0078276C" w:rsidP="00465F53">
      <w:r>
        <w:separator/>
      </w:r>
    </w:p>
  </w:footnote>
  <w:footnote w:type="continuationSeparator" w:id="0">
    <w:p w:rsidR="0078276C" w:rsidRDefault="0078276C" w:rsidP="0046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2FB2"/>
    <w:rsid w:val="00155BD9"/>
    <w:rsid w:val="001F21F6"/>
    <w:rsid w:val="002C41E3"/>
    <w:rsid w:val="003B0C91"/>
    <w:rsid w:val="00426294"/>
    <w:rsid w:val="00465F53"/>
    <w:rsid w:val="0078276C"/>
    <w:rsid w:val="00854FC9"/>
    <w:rsid w:val="008E53C9"/>
    <w:rsid w:val="008F2879"/>
    <w:rsid w:val="00BE092F"/>
    <w:rsid w:val="00C43A40"/>
    <w:rsid w:val="00CD2FB2"/>
    <w:rsid w:val="00CD5D18"/>
    <w:rsid w:val="00E0179E"/>
    <w:rsid w:val="00F1019A"/>
    <w:rsid w:val="00F14B84"/>
    <w:rsid w:val="00F53CAC"/>
    <w:rsid w:val="00FB5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FB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2FB2"/>
    <w:pPr>
      <w:tabs>
        <w:tab w:val="center" w:pos="4320"/>
        <w:tab w:val="right" w:pos="8640"/>
      </w:tabs>
    </w:pPr>
    <w:rPr>
      <w:lang w:eastAsia="en-GB"/>
    </w:rPr>
  </w:style>
  <w:style w:type="character" w:customStyle="1" w:styleId="FooterChar">
    <w:name w:val="Footer Char"/>
    <w:basedOn w:val="DefaultParagraphFont"/>
    <w:link w:val="Footer"/>
    <w:rsid w:val="00CD2FB2"/>
    <w:rPr>
      <w:sz w:val="24"/>
      <w:szCs w:val="24"/>
      <w:lang w:val="en-GB" w:eastAsia="en-GB"/>
    </w:rPr>
  </w:style>
  <w:style w:type="character" w:styleId="PageNumber">
    <w:name w:val="page number"/>
    <w:basedOn w:val="DefaultParagraphFont"/>
    <w:rsid w:val="00CD2F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2FB2"/>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CD2FB2"/>
    <w:pPr>
      <w:tabs>
        <w:tab w:val="center" w:pos="4320"/>
        <w:tab w:val="right" w:pos="8640"/>
      </w:tabs>
    </w:pPr>
    <w:rPr>
      <w:lang w:eastAsia="en-GB"/>
    </w:rPr>
  </w:style>
  <w:style w:type="character" w:customStyle="1" w:styleId="FooterChar">
    <w:name w:val="Footer Char"/>
    <w:basedOn w:val="DefaultParagraphFont"/>
    <w:link w:val="Footer"/>
    <w:rsid w:val="00CD2FB2"/>
    <w:rPr>
      <w:sz w:val="24"/>
      <w:szCs w:val="24"/>
      <w:lang w:val="en-GB" w:eastAsia="en-GB"/>
    </w:rPr>
  </w:style>
  <w:style w:type="character" w:styleId="PageNumber">
    <w:name w:val="page number"/>
    <w:basedOn w:val="DefaultParagraphFont"/>
    <w:rsid w:val="00CD2F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1010</Words>
  <Characters>5762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Angell</dc:creator>
  <cp:lastModifiedBy>Ruth</cp:lastModifiedBy>
  <cp:revision>2</cp:revision>
  <dcterms:created xsi:type="dcterms:W3CDTF">2012-12-29T19:52:00Z</dcterms:created>
  <dcterms:modified xsi:type="dcterms:W3CDTF">2012-12-29T19:52:00Z</dcterms:modified>
</cp:coreProperties>
</file>