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B6CC" w14:textId="630ABC96" w:rsidR="00820AFC" w:rsidRPr="00D408F6" w:rsidRDefault="00C17B90" w:rsidP="00820AFC">
      <w:pPr>
        <w:pStyle w:val="BodyText1"/>
      </w:pPr>
      <w:r>
        <w:rPr>
          <w:b/>
        </w:rPr>
        <w:t>Table S1</w:t>
      </w:r>
      <w:r w:rsidR="00820AFC" w:rsidRPr="00793D84">
        <w:t xml:space="preserve"> —Landmarks used in this analysis, classified as types 1 – 3 according to </w:t>
      </w:r>
      <w:proofErr w:type="spellStart"/>
      <w:r w:rsidR="00820AFC" w:rsidRPr="00793D84">
        <w:t>Bookstein</w:t>
      </w:r>
      <w:proofErr w:type="spellEnd"/>
      <w:r w:rsidR="00820AFC" w:rsidRPr="00793D84">
        <w:t xml:space="preserve"> </w:t>
      </w:r>
      <w:r w:rsidR="00820AFC" w:rsidRPr="00A10821">
        <w:fldChar w:fldCharType="begin"/>
      </w:r>
      <w:r w:rsidR="00B811C6">
        <w:instrText xml:space="preserve"> ADDIN EN.CITE &lt;EndNote&gt;&lt;Cite ExcludeAuth="1"&gt;&lt;Author&gt;Bookstein&lt;/Author&gt;&lt;Year&gt;1991&lt;/Year&gt;&lt;RecNum&gt;2131&lt;/RecNum&gt;&lt;DisplayText&gt;[1]&lt;/DisplayText&gt;&lt;record&gt;&lt;rec-number&gt;2131&lt;/rec-number&gt;&lt;foreign-keys&gt;&lt;key app="EN" db-id="ew5z5vv230zpaveafes5sptywf5tspaa2eat"&gt;2131&lt;/key&gt;&lt;/foreign-keys&gt;&lt;ref-type name="Book"&gt;6&lt;/ref-type&gt;&lt;contributors&gt;&lt;authors&gt;&lt;author&gt;Bookstein, F. L.&lt;/author&gt;&lt;/authors&gt;&lt;/contributors&gt;&lt;titles&gt;&lt;title&gt;Morphometric tools for landmark data; geometry and biology&lt;/title&gt;&lt;/titles&gt;&lt;pages&gt;435&lt;/pages&gt;&lt;keywords&gt;&lt;keyword&gt;Morphometrics&lt;/keyword&gt;&lt;keyword&gt;Statistics&lt;/keyword&gt;&lt;keyword&gt;Biometry&lt;/keyword&gt;&lt;keyword&gt;Shape Analysis&lt;/keyword&gt;&lt;/keywords&gt;&lt;dates&gt;&lt;year&gt;1991&lt;/year&gt;&lt;/dates&gt;&lt;pub-location&gt;Cambridge&lt;/pub-location&gt;&lt;publisher&gt;Cambridge University Press&lt;/publisher&gt;&lt;urls&gt;&lt;/urls&gt;&lt;/record&gt;&lt;/Cite&gt;&lt;/EndNote&gt;</w:instrText>
      </w:r>
      <w:r w:rsidR="00820AFC" w:rsidRPr="00A10821">
        <w:fldChar w:fldCharType="separate"/>
      </w:r>
      <w:r w:rsidR="00B811C6">
        <w:rPr>
          <w:noProof/>
        </w:rPr>
        <w:t>[</w:t>
      </w:r>
      <w:hyperlink w:anchor="_ENREF_1" w:tooltip="Bookstein, 1991 #2131" w:history="1">
        <w:r w:rsidR="00B811C6">
          <w:rPr>
            <w:noProof/>
          </w:rPr>
          <w:t>1</w:t>
        </w:r>
      </w:hyperlink>
      <w:r w:rsidR="00B811C6">
        <w:rPr>
          <w:noProof/>
        </w:rPr>
        <w:t>]</w:t>
      </w:r>
      <w:r w:rsidR="00820AFC" w:rsidRPr="00A10821">
        <w:fldChar w:fldCharType="end"/>
      </w:r>
      <w:r w:rsidR="00820AFC" w:rsidRPr="0042025F">
        <w:t xml:space="preserve"> or as </w:t>
      </w:r>
      <w:proofErr w:type="spellStart"/>
      <w:r w:rsidR="00820AFC" w:rsidRPr="0042025F">
        <w:t>semilandmarks</w:t>
      </w:r>
      <w:proofErr w:type="spellEnd"/>
      <w:r w:rsidR="00B811C6">
        <w:t xml:space="preserve"> (e.g. Sheets</w:t>
      </w:r>
      <w:r w:rsidR="00820AFC" w:rsidRPr="0042025F">
        <w:t xml:space="preserve"> </w:t>
      </w:r>
      <w:r w:rsidR="00820AFC" w:rsidRPr="0042025F">
        <w:fldChar w:fldCharType="begin"/>
      </w:r>
      <w:r w:rsidR="00B811C6">
        <w:instrText xml:space="preserve"> ADDIN EN.CITE &lt;EndNote&gt;&lt;Cite&gt;&lt;Author&gt;Sheets&lt;/Author&gt;&lt;Year&gt;2006&lt;/Year&gt;&lt;RecNum&gt;2141&lt;/RecNum&gt;&lt;DisplayText&gt;[2]&lt;/DisplayText&gt;&lt;record&gt;&lt;rec-number&gt;2141&lt;/rec-number&gt;&lt;foreign-keys&gt;&lt;key app="EN" db-id="ew5z5vv230zpaveafes5sptywf5tspaa2eat"&gt;2141&lt;/key&gt;&lt;/foreign-keys&gt;&lt;ref-type name="Journal Article"&gt;17&lt;/ref-type&gt;&lt;contributors&gt;&lt;authors&gt;&lt;author&gt;Sheets, H. D.&lt;/author&gt;&lt;author&gt;Covino, K. M.&lt;/author&gt;&lt;author&gt;Panasiewicz, J. M.&lt;/author&gt;&lt;author&gt;Morris, S. R.&lt;/author&gt;&lt;/authors&gt;&lt;/contributors&gt;&lt;titles&gt;&lt;title&gt;Comparison of geometric morphometric outline methods in the discrimination of age-related differences in feather shape&lt;/title&gt;&lt;secondary-title&gt;Frontiers in zoology&lt;/secondary-title&gt;&lt;/titles&gt;&lt;periodical&gt;&lt;full-title&gt;Frontiers in Zoology&lt;/full-title&gt;&lt;abbr-3&gt;Front. Zool.&lt;/abbr-3&gt;&lt;/periodical&gt;&lt;pages&gt;15&lt;/pages&gt;&lt;volume&gt;3&lt;/volume&gt;&lt;keywords&gt;&lt;keyword&gt;Landmark Analysis&lt;/keyword&gt;&lt;keyword&gt;Geometric morphometrics&lt;/keyword&gt;&lt;keyword&gt;semi-landmarks&lt;/keyword&gt;&lt;keyword&gt;Sliding semi-landmarks&lt;/keyword&gt;&lt;/keywords&gt;&lt;dates&gt;&lt;year&gt;2006&lt;/year&gt;&lt;/dates&gt;&lt;urls&gt;&lt;/urls&gt;&lt;/record&gt;&lt;/Cite&gt;&lt;/EndNote&gt;</w:instrText>
      </w:r>
      <w:r w:rsidR="00820AFC" w:rsidRPr="0042025F">
        <w:fldChar w:fldCharType="separate"/>
      </w:r>
      <w:r w:rsidR="00B811C6">
        <w:rPr>
          <w:noProof/>
        </w:rPr>
        <w:t>[</w:t>
      </w:r>
      <w:hyperlink w:anchor="_ENREF_2" w:tooltip="Sheets, 2006 #2141" w:history="1">
        <w:r w:rsidR="00B811C6">
          <w:rPr>
            <w:noProof/>
          </w:rPr>
          <w:t>2</w:t>
        </w:r>
      </w:hyperlink>
      <w:r w:rsidR="00B811C6">
        <w:rPr>
          <w:noProof/>
        </w:rPr>
        <w:t>]</w:t>
      </w:r>
      <w:r w:rsidR="00820AFC" w:rsidRPr="0042025F">
        <w:fldChar w:fldCharType="end"/>
      </w:r>
      <w:r w:rsidR="00B811C6">
        <w:t>)</w:t>
      </w:r>
      <w:r w:rsidR="00820AFC" w:rsidRPr="0042025F">
        <w:t>.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139"/>
        <w:gridCol w:w="816"/>
        <w:gridCol w:w="1532"/>
        <w:gridCol w:w="4353"/>
      </w:tblGrid>
      <w:tr w:rsidR="00820AFC" w:rsidRPr="00D408F6" w14:paraId="26DB962D" w14:textId="77777777" w:rsidTr="00EE3B61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8109" w14:textId="77777777" w:rsidR="00820AFC" w:rsidRPr="00D408F6" w:rsidRDefault="00820AFC" w:rsidP="00EE3B61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D408F6">
              <w:rPr>
                <w:b/>
                <w:bCs/>
                <w:sz w:val="20"/>
                <w:szCs w:val="20"/>
                <w:lang w:val="en-AU"/>
              </w:rPr>
              <w:t>Landmark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F057" w14:textId="77777777" w:rsidR="00820AFC" w:rsidRPr="00D408F6" w:rsidRDefault="00820AFC" w:rsidP="00EE3B61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D408F6">
              <w:rPr>
                <w:b/>
                <w:bCs/>
                <w:sz w:val="20"/>
                <w:szCs w:val="20"/>
                <w:lang w:val="en-AU"/>
              </w:rPr>
              <w:t xml:space="preserve">Type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50AAE" w14:textId="77777777" w:rsidR="00820AFC" w:rsidRPr="00D408F6" w:rsidRDefault="00820AFC" w:rsidP="00EE3B61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D408F6">
              <w:rPr>
                <w:b/>
                <w:bCs/>
                <w:sz w:val="20"/>
                <w:szCs w:val="20"/>
                <w:lang w:val="en-AU"/>
              </w:rPr>
              <w:t>Description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77D37" w14:textId="77777777" w:rsidR="00820AFC" w:rsidRPr="00D408F6" w:rsidRDefault="00820AFC" w:rsidP="00EE3B61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D408F6">
              <w:rPr>
                <w:b/>
                <w:bCs/>
                <w:sz w:val="20"/>
                <w:szCs w:val="20"/>
                <w:lang w:val="en-AU"/>
              </w:rPr>
              <w:t>Notes</w:t>
            </w:r>
          </w:p>
        </w:tc>
      </w:tr>
      <w:tr w:rsidR="00820AFC" w:rsidRPr="00D408F6" w14:paraId="03C0EBC2" w14:textId="77777777" w:rsidTr="00EE3B61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D051A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99E98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6197D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proofErr w:type="spellStart"/>
            <w:r w:rsidRPr="00D408F6">
              <w:rPr>
                <w:sz w:val="20"/>
                <w:szCs w:val="20"/>
                <w:lang w:val="en-AU"/>
              </w:rPr>
              <w:t>Protoconch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– i.e., position of larval shell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CBC4F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 </w:t>
            </w:r>
          </w:p>
        </w:tc>
      </w:tr>
      <w:tr w:rsidR="00820AFC" w:rsidRPr="00D408F6" w14:paraId="66CC8DB8" w14:textId="77777777" w:rsidTr="00EE3B61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28C7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0FB7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CCE0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Left side suture of body whorl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8EB5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</w:p>
        </w:tc>
      </w:tr>
      <w:tr w:rsidR="00820AFC" w:rsidRPr="00D408F6" w14:paraId="6183FC10" w14:textId="77777777" w:rsidTr="00EE3B61">
        <w:trPr>
          <w:trHeight w:val="144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5AF20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C2BF3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EF480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 xml:space="preserve">Anterior tip of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columella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6A991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 xml:space="preserve">In optimum presentation, this landmark is at the intersection of the anterior extremity of the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fasciole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and the inner lip callus; in reality, this point is prone to abrasion, breakage and overgrowth of callus and in some shells its position has been estimated with small uncertainty </w:t>
            </w:r>
          </w:p>
        </w:tc>
      </w:tr>
      <w:tr w:rsidR="00820AFC" w:rsidRPr="00D408F6" w14:paraId="4913C707" w14:textId="77777777" w:rsidTr="00EE3B61">
        <w:trPr>
          <w:trHeight w:val="26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CA3B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F9CC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D408F6">
              <w:rPr>
                <w:sz w:val="20"/>
                <w:szCs w:val="20"/>
                <w:lang w:val="en-AU"/>
              </w:rPr>
              <w:t>semi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E213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 xml:space="preserve">Posterior, visible extremity of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siphonal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notch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BA03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 xml:space="preserve">The depth of the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siphonal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notch is an important taxonomic character in the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Volutidae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and the true posterior extremity of the notch is a type 2 </w:t>
            </w:r>
            <w:proofErr w:type="gramStart"/>
            <w:r w:rsidRPr="00D408F6">
              <w:rPr>
                <w:sz w:val="20"/>
                <w:szCs w:val="20"/>
                <w:lang w:val="en-AU"/>
              </w:rPr>
              <w:t>landmark</w:t>
            </w:r>
            <w:proofErr w:type="gramEnd"/>
            <w:r w:rsidRPr="00D408F6">
              <w:rPr>
                <w:sz w:val="20"/>
                <w:szCs w:val="20"/>
                <w:lang w:val="en-AU"/>
              </w:rPr>
              <w:t xml:space="preserve">.  The point is, however, not co-planar with other points (and thus subject to parallax errors) and in many cases it is obscured by the inner lip on the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columella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.  Furthermore, in some individuals the notch is barely developed. For these reasons we have located landmark 4 at the posterior-most, visible point on the notch or at the corresponding maximum in curvature on specimens lacking an obvious notch, and have processed the point as a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semilandmark</w:t>
            </w:r>
            <w:proofErr w:type="spellEnd"/>
          </w:p>
        </w:tc>
      </w:tr>
      <w:tr w:rsidR="00820AFC" w:rsidRPr="00D408F6" w14:paraId="58D1A00E" w14:textId="77777777" w:rsidTr="00EE3B61">
        <w:trPr>
          <w:trHeight w:val="72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72B64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8589E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D408F6">
              <w:rPr>
                <w:sz w:val="20"/>
                <w:szCs w:val="20"/>
                <w:lang w:val="en-AU"/>
              </w:rPr>
              <w:t>semi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C9592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Anterior extremity of outer lip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2B25F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 xml:space="preserve">A type 3 landmark but processed here, conservatively, as a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semilandmark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(see text)</w:t>
            </w:r>
          </w:p>
        </w:tc>
      </w:tr>
      <w:tr w:rsidR="00820AFC" w:rsidRPr="00D408F6" w14:paraId="305B4F6E" w14:textId="77777777" w:rsidTr="00EE3B61">
        <w:trPr>
          <w:trHeight w:val="16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261A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BEAA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D408F6">
              <w:rPr>
                <w:sz w:val="20"/>
                <w:szCs w:val="20"/>
                <w:lang w:val="en-AU"/>
              </w:rPr>
              <w:t>semi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461E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Anterior half of outer lip, located using ‘comb’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B5E2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proofErr w:type="spellStart"/>
            <w:r w:rsidRPr="00D408F6">
              <w:rPr>
                <w:sz w:val="20"/>
                <w:szCs w:val="20"/>
                <w:lang w:val="en-AU"/>
              </w:rPr>
              <w:t>Semilandmarks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 xml:space="preserve"> restricted to anterior part of lip so as to avoid large knobs that affect posterior part of outer lip in some taxa.  (This issue is relevant to a larger analysis of </w:t>
            </w:r>
            <w:proofErr w:type="spellStart"/>
            <w:r w:rsidRPr="00D408F6">
              <w:rPr>
                <w:sz w:val="20"/>
                <w:szCs w:val="20"/>
                <w:lang w:val="en-AU"/>
              </w:rPr>
              <w:t>Volutidae</w:t>
            </w:r>
            <w:proofErr w:type="spellEnd"/>
            <w:r w:rsidRPr="00D408F6">
              <w:rPr>
                <w:sz w:val="20"/>
                <w:szCs w:val="20"/>
                <w:lang w:val="en-AU"/>
              </w:rPr>
              <w:t>, of which this study forms part.  In any individual, expression of these knobs is determined arbitrarily by the vagaries of adult growth and is not a reliable indicator of adult morphology.)</w:t>
            </w:r>
          </w:p>
        </w:tc>
      </w:tr>
      <w:tr w:rsidR="00820AFC" w:rsidRPr="00D408F6" w14:paraId="065D1DF4" w14:textId="77777777" w:rsidTr="00EE3B61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30EDF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E47AC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D408F6">
              <w:rPr>
                <w:sz w:val="20"/>
                <w:szCs w:val="20"/>
                <w:lang w:val="en-AU"/>
              </w:rPr>
              <w:t>semi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04FFA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F007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As above</w:t>
            </w:r>
          </w:p>
        </w:tc>
      </w:tr>
      <w:tr w:rsidR="00820AFC" w:rsidRPr="00D408F6" w14:paraId="46EE0B48" w14:textId="77777777" w:rsidTr="00EE3B61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D236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40C7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D408F6">
              <w:rPr>
                <w:sz w:val="20"/>
                <w:szCs w:val="20"/>
                <w:lang w:val="en-AU"/>
              </w:rPr>
              <w:t>semi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DFFF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FAFA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As above</w:t>
            </w:r>
          </w:p>
        </w:tc>
      </w:tr>
      <w:tr w:rsidR="00820AFC" w:rsidRPr="00D408F6" w14:paraId="24829CA7" w14:textId="77777777" w:rsidTr="00EE3B61">
        <w:trPr>
          <w:trHeight w:val="24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A76B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A7AAE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D408F6">
              <w:rPr>
                <w:sz w:val="20"/>
                <w:szCs w:val="20"/>
                <w:lang w:val="en-AU"/>
              </w:rPr>
              <w:t>semi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131A3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A1E8B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As above</w:t>
            </w:r>
          </w:p>
        </w:tc>
      </w:tr>
      <w:tr w:rsidR="00820AFC" w:rsidRPr="00D408F6" w14:paraId="1BF9733D" w14:textId="77777777" w:rsidTr="00EE3B61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08A8F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06C44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617C9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Suture at posterior limit of outer lip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B64DF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 </w:t>
            </w:r>
          </w:p>
        </w:tc>
      </w:tr>
      <w:tr w:rsidR="00820AFC" w:rsidRPr="00D408F6" w14:paraId="55535BCA" w14:textId="77777777" w:rsidTr="00EE3B61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6B5CA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8DCED" w14:textId="77777777" w:rsidR="00820AFC" w:rsidRPr="00D408F6" w:rsidRDefault="00820AFC" w:rsidP="00EE3B61">
            <w:pPr>
              <w:jc w:val="center"/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4212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Right side suture of body whorl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37B70" w14:textId="77777777" w:rsidR="00820AFC" w:rsidRPr="00D408F6" w:rsidRDefault="00820AFC" w:rsidP="00EE3B61">
            <w:pPr>
              <w:rPr>
                <w:sz w:val="20"/>
                <w:szCs w:val="20"/>
                <w:lang w:val="en-AU"/>
              </w:rPr>
            </w:pPr>
            <w:r w:rsidRPr="00D408F6">
              <w:rPr>
                <w:sz w:val="20"/>
                <w:szCs w:val="20"/>
                <w:lang w:val="en-AU"/>
              </w:rPr>
              <w:t> </w:t>
            </w:r>
          </w:p>
        </w:tc>
      </w:tr>
    </w:tbl>
    <w:p w14:paraId="79F547FE" w14:textId="77777777" w:rsidR="00820AFC" w:rsidRPr="00D408F6" w:rsidRDefault="00820AFC" w:rsidP="00820AFC">
      <w:pPr>
        <w:pStyle w:val="BodyText1"/>
        <w:spacing w:line="240" w:lineRule="auto"/>
      </w:pPr>
    </w:p>
    <w:p w14:paraId="4733865C" w14:textId="77777777" w:rsidR="00B811C6" w:rsidRDefault="00B811C6" w:rsidP="00B811C6">
      <w:pPr>
        <w:spacing w:line="480" w:lineRule="auto"/>
      </w:pPr>
    </w:p>
    <w:p w14:paraId="2DF1A175" w14:textId="77777777" w:rsidR="00B811C6" w:rsidRDefault="00B811C6" w:rsidP="00B811C6">
      <w:pPr>
        <w:spacing w:line="480" w:lineRule="auto"/>
      </w:pPr>
    </w:p>
    <w:p w14:paraId="4E95A790" w14:textId="2ED5B899" w:rsidR="00B811C6" w:rsidRDefault="00B811C6" w:rsidP="00B811C6">
      <w:pPr>
        <w:spacing w:line="480" w:lineRule="auto"/>
        <w:ind w:left="720" w:hanging="720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>
        <w:rPr>
          <w:noProof/>
        </w:rPr>
        <w:t xml:space="preserve">1. Bookstein FL (1991) Morphometric tools for landmark data; geometry and biology. Cambridge: Cambridge University Press. </w:t>
      </w:r>
      <w:bookmarkEnd w:id="0"/>
    </w:p>
    <w:p w14:paraId="4C959E70" w14:textId="0385147B" w:rsidR="00B811C6" w:rsidRDefault="00B811C6" w:rsidP="00B811C6">
      <w:pPr>
        <w:spacing w:line="480" w:lineRule="auto"/>
        <w:ind w:left="720" w:hanging="720"/>
        <w:rPr>
          <w:noProof/>
        </w:rPr>
      </w:pPr>
      <w:bookmarkStart w:id="1" w:name="_ENREF_2"/>
      <w:r>
        <w:rPr>
          <w:noProof/>
        </w:rPr>
        <w:t>2. Sheets HD, Covino KM, Panasiewicz JM, Morris SR (2006) Comparison of geometric morphometric outline methods in the discrimination of age-related differences in feather</w:t>
      </w:r>
      <w:r w:rsidR="0054609C">
        <w:rPr>
          <w:noProof/>
        </w:rPr>
        <w:t xml:space="preserve"> shape. Frontiers in zoology 3:</w:t>
      </w:r>
      <w:r>
        <w:rPr>
          <w:noProof/>
        </w:rPr>
        <w:t>15.</w:t>
      </w:r>
      <w:bookmarkEnd w:id="1"/>
    </w:p>
    <w:p w14:paraId="264D2A5E" w14:textId="5D742AAA" w:rsidR="00B811C6" w:rsidRDefault="00B811C6" w:rsidP="00B811C6">
      <w:pPr>
        <w:spacing w:line="480" w:lineRule="auto"/>
        <w:rPr>
          <w:noProof/>
        </w:rPr>
      </w:pPr>
      <w:bookmarkStart w:id="2" w:name="_GoBack"/>
      <w:bookmarkEnd w:id="2"/>
    </w:p>
    <w:p w14:paraId="51D7E5E4" w14:textId="69CADB55" w:rsidR="003C3B6A" w:rsidRDefault="00B811C6" w:rsidP="00B811C6">
      <w:pPr>
        <w:spacing w:line="480" w:lineRule="auto"/>
      </w:pPr>
      <w:r>
        <w:fldChar w:fldCharType="end"/>
      </w:r>
    </w:p>
    <w:sectPr w:rsidR="003C3B6A" w:rsidSect="00A82B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w5z5vv230zpaveafes5sptywf5tspaa2eat&quot;&gt;All References&lt;record-ids&gt;&lt;item&gt;2131&lt;/item&gt;&lt;item&gt;2141&lt;/item&gt;&lt;/record-ids&gt;&lt;/item&gt;&lt;/Libraries&gt;"/>
  </w:docVars>
  <w:rsids>
    <w:rsidRoot w:val="00820AFC"/>
    <w:rsid w:val="003C3B6A"/>
    <w:rsid w:val="0054609C"/>
    <w:rsid w:val="00655B05"/>
    <w:rsid w:val="00820AFC"/>
    <w:rsid w:val="00A82B71"/>
    <w:rsid w:val="00B811C6"/>
    <w:rsid w:val="00C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03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F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820AFC"/>
    <w:pPr>
      <w:widowControl w:val="0"/>
      <w:suppressAutoHyphens/>
      <w:spacing w:line="480" w:lineRule="auto"/>
    </w:pPr>
    <w:rPr>
      <w:rFonts w:eastAsia="Lucida Sans Unicode"/>
      <w:kern w:val="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C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81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F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820AFC"/>
    <w:pPr>
      <w:widowControl w:val="0"/>
      <w:suppressAutoHyphens/>
      <w:spacing w:line="480" w:lineRule="auto"/>
    </w:pPr>
    <w:rPr>
      <w:rFonts w:eastAsia="Lucida Sans Unicode"/>
      <w:kern w:val="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C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81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Hills</dc:creator>
  <cp:keywords/>
  <dc:description/>
  <cp:lastModifiedBy>Simon Hills</cp:lastModifiedBy>
  <cp:revision>5</cp:revision>
  <dcterms:created xsi:type="dcterms:W3CDTF">2012-05-01T04:56:00Z</dcterms:created>
  <dcterms:modified xsi:type="dcterms:W3CDTF">2012-11-20T02:29:00Z</dcterms:modified>
</cp:coreProperties>
</file>