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9" w:rsidRPr="0081212E" w:rsidRDefault="0081212E" w:rsidP="0081212E">
      <w:pPr>
        <w:pStyle w:val="ListParagraph"/>
        <w:spacing w:before="24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212E">
        <w:rPr>
          <w:rFonts w:ascii="Arial" w:hAnsi="Arial" w:cs="Arial"/>
          <w:b/>
          <w:sz w:val="24"/>
          <w:szCs w:val="24"/>
        </w:rPr>
        <w:t xml:space="preserve">Table S1: </w:t>
      </w:r>
      <w:r w:rsidRPr="004E7C5C">
        <w:rPr>
          <w:rFonts w:ascii="Arial" w:hAnsi="Arial" w:cs="Arial"/>
          <w:b/>
          <w:sz w:val="24"/>
          <w:szCs w:val="24"/>
        </w:rPr>
        <w:t>Coverage by MeDIP-seq and th</w:t>
      </w:r>
      <w:r w:rsidR="00861366"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 w:rsidR="00861366">
        <w:rPr>
          <w:rFonts w:ascii="Arial" w:hAnsi="Arial" w:cs="Arial"/>
          <w:b/>
          <w:sz w:val="24"/>
          <w:szCs w:val="24"/>
        </w:rPr>
        <w:t>HumanMethylation</w:t>
      </w:r>
      <w:proofErr w:type="spellEnd"/>
      <w:r w:rsidR="00861366">
        <w:rPr>
          <w:rFonts w:ascii="Arial" w:hAnsi="Arial" w:cs="Arial"/>
          <w:b/>
          <w:sz w:val="24"/>
          <w:szCs w:val="24"/>
        </w:rPr>
        <w:t xml:space="preserve"> 450K </w:t>
      </w:r>
      <w:r w:rsidRPr="004E7C5C">
        <w:rPr>
          <w:rFonts w:ascii="Arial" w:hAnsi="Arial" w:cs="Arial"/>
          <w:b/>
          <w:sz w:val="24"/>
          <w:szCs w:val="24"/>
        </w:rPr>
        <w:t>of differen</w:t>
      </w:r>
      <w:r w:rsidR="004B343E">
        <w:rPr>
          <w:rFonts w:ascii="Arial" w:hAnsi="Arial" w:cs="Arial"/>
          <w:b/>
          <w:sz w:val="24"/>
          <w:szCs w:val="24"/>
        </w:rPr>
        <w:t>t genomic features</w:t>
      </w:r>
      <w:r w:rsidRPr="004E7C5C">
        <w:rPr>
          <w:rFonts w:ascii="Arial" w:hAnsi="Arial" w:cs="Arial"/>
          <w:b/>
          <w:sz w:val="24"/>
          <w:szCs w:val="24"/>
        </w:rPr>
        <w:t>.</w:t>
      </w:r>
      <w:r w:rsidRPr="004E7C5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333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134"/>
        <w:gridCol w:w="1455"/>
        <w:gridCol w:w="1666"/>
        <w:gridCol w:w="1667"/>
        <w:gridCol w:w="1666"/>
        <w:gridCol w:w="1667"/>
      </w:tblGrid>
      <w:tr w:rsidR="0081212E" w:rsidRPr="003560BF" w:rsidTr="00587C76">
        <w:trPr>
          <w:trHeight w:val="560"/>
        </w:trPr>
        <w:tc>
          <w:tcPr>
            <w:tcW w:w="2660" w:type="dxa"/>
            <w:vAlign w:val="center"/>
          </w:tcPr>
          <w:p w:rsidR="0081212E" w:rsidRPr="00587C76" w:rsidRDefault="0081212E" w:rsidP="0058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212E" w:rsidRPr="00587C76" w:rsidRDefault="0081212E" w:rsidP="0058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12E" w:rsidRPr="00587C76" w:rsidRDefault="0081212E" w:rsidP="0058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81212E" w:rsidRPr="00587C76" w:rsidRDefault="00861366" w:rsidP="0058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HumanMethylation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450K </w:t>
            </w:r>
          </w:p>
        </w:tc>
        <w:tc>
          <w:tcPr>
            <w:tcW w:w="6666" w:type="dxa"/>
            <w:gridSpan w:val="4"/>
            <w:vAlign w:val="center"/>
          </w:tcPr>
          <w:p w:rsidR="0081212E" w:rsidRPr="00587C76" w:rsidRDefault="00861366" w:rsidP="0058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MeDIP-s</w:t>
            </w:r>
            <w:r w:rsidR="0081212E" w:rsidRPr="00587C76">
              <w:rPr>
                <w:rFonts w:ascii="Arial" w:hAnsi="Arial" w:cs="Arial"/>
                <w:sz w:val="20"/>
                <w:szCs w:val="20"/>
              </w:rPr>
              <w:t>eq</w:t>
            </w:r>
          </w:p>
        </w:tc>
      </w:tr>
      <w:tr w:rsidR="0081212E" w:rsidRPr="003560BF" w:rsidTr="00587C76">
        <w:trPr>
          <w:trHeight w:val="383"/>
        </w:trPr>
        <w:tc>
          <w:tcPr>
            <w:tcW w:w="2660" w:type="dxa"/>
            <w:vAlign w:val="center"/>
          </w:tcPr>
          <w:p w:rsidR="0081212E" w:rsidRPr="00587C76" w:rsidRDefault="0081212E" w:rsidP="0058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12E" w:rsidRPr="00587C76" w:rsidRDefault="0081212E" w:rsidP="0058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12E" w:rsidRPr="00587C76" w:rsidRDefault="0081212E" w:rsidP="0058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1212E" w:rsidRPr="00587C76" w:rsidRDefault="0081212E" w:rsidP="0058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81212E" w:rsidRPr="00587C76" w:rsidRDefault="0081212E" w:rsidP="0058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GM01240</w:t>
            </w:r>
          </w:p>
        </w:tc>
        <w:tc>
          <w:tcPr>
            <w:tcW w:w="3333" w:type="dxa"/>
            <w:gridSpan w:val="2"/>
            <w:vAlign w:val="center"/>
          </w:tcPr>
          <w:p w:rsidR="0081212E" w:rsidRPr="00587C76" w:rsidRDefault="0081212E" w:rsidP="0058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GM01247</w:t>
            </w:r>
          </w:p>
        </w:tc>
      </w:tr>
      <w:tr w:rsidR="0081212E" w:rsidRPr="003560BF" w:rsidTr="00587C76">
        <w:tc>
          <w:tcPr>
            <w:tcW w:w="2660" w:type="dxa"/>
            <w:vAlign w:val="bottom"/>
          </w:tcPr>
          <w:p w:rsidR="0081212E" w:rsidRPr="00587C76" w:rsidRDefault="0081212E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Feature</w:t>
            </w:r>
          </w:p>
        </w:tc>
        <w:tc>
          <w:tcPr>
            <w:tcW w:w="1417" w:type="dxa"/>
            <w:vAlign w:val="bottom"/>
          </w:tcPr>
          <w:p w:rsidR="0081212E" w:rsidRPr="00587C76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S</w:t>
            </w:r>
            <w:r w:rsidR="0081212E" w:rsidRPr="00587C76">
              <w:rPr>
                <w:rFonts w:ascii="Arial" w:hAnsi="Arial" w:cs="Arial"/>
                <w:sz w:val="20"/>
                <w:szCs w:val="20"/>
              </w:rPr>
              <w:t>ites or features in the genome</w:t>
            </w:r>
          </w:p>
        </w:tc>
        <w:tc>
          <w:tcPr>
            <w:tcW w:w="1134" w:type="dxa"/>
            <w:vAlign w:val="bottom"/>
          </w:tcPr>
          <w:p w:rsidR="0081212E" w:rsidRPr="00587C76" w:rsidRDefault="0081212E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Sites covered by design</w:t>
            </w:r>
          </w:p>
        </w:tc>
        <w:tc>
          <w:tcPr>
            <w:tcW w:w="1455" w:type="dxa"/>
            <w:vAlign w:val="bottom"/>
          </w:tcPr>
          <w:p w:rsidR="0081212E" w:rsidRPr="00587C76" w:rsidRDefault="0081212E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Percentage of genomic sites covered</w:t>
            </w:r>
          </w:p>
        </w:tc>
        <w:tc>
          <w:tcPr>
            <w:tcW w:w="1666" w:type="dxa"/>
            <w:vAlign w:val="bottom"/>
          </w:tcPr>
          <w:p w:rsidR="0081212E" w:rsidRPr="00587C76" w:rsidRDefault="0081212E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Sites covered by ≥1 reads</w:t>
            </w:r>
          </w:p>
        </w:tc>
        <w:tc>
          <w:tcPr>
            <w:tcW w:w="1667" w:type="dxa"/>
            <w:vAlign w:val="bottom"/>
          </w:tcPr>
          <w:p w:rsidR="0081212E" w:rsidRPr="00587C76" w:rsidRDefault="0081212E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Percentage of genomic sites covered</w:t>
            </w:r>
          </w:p>
        </w:tc>
        <w:tc>
          <w:tcPr>
            <w:tcW w:w="1666" w:type="dxa"/>
            <w:vAlign w:val="bottom"/>
          </w:tcPr>
          <w:p w:rsidR="0081212E" w:rsidRPr="00587C76" w:rsidRDefault="0081212E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Sites covered by ≥ 1 reads</w:t>
            </w:r>
          </w:p>
        </w:tc>
        <w:tc>
          <w:tcPr>
            <w:tcW w:w="1667" w:type="dxa"/>
            <w:vAlign w:val="bottom"/>
          </w:tcPr>
          <w:p w:rsidR="0081212E" w:rsidRPr="00587C76" w:rsidRDefault="0081212E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Percentage of genomic sites covered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7C76">
              <w:rPr>
                <w:rFonts w:ascii="Arial" w:hAnsi="Arial" w:cs="Arial"/>
                <w:sz w:val="20"/>
                <w:szCs w:val="20"/>
              </w:rPr>
              <w:t>CpG</w:t>
            </w:r>
            <w:proofErr w:type="spellEnd"/>
            <w:r w:rsidRPr="00587C76">
              <w:rPr>
                <w:rFonts w:ascii="Arial" w:hAnsi="Arial" w:cs="Arial"/>
                <w:sz w:val="20"/>
                <w:szCs w:val="20"/>
              </w:rPr>
              <w:t xml:space="preserve"> sites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28162537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482421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1.7%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24688534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87.7%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24680779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87.6%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CpA sites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207350708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3081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167727044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80.9%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165655906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79.9%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CpT sites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199988203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163149688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81.6%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161259874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80.6%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CpC sites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148887078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123786323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83.1%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122768463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82.5%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7C76">
              <w:rPr>
                <w:rFonts w:ascii="Arial" w:hAnsi="Arial" w:cs="Arial"/>
                <w:sz w:val="20"/>
                <w:szCs w:val="20"/>
              </w:rPr>
              <w:t>CpG</w:t>
            </w:r>
            <w:proofErr w:type="spellEnd"/>
            <w:r w:rsidRPr="00587C76">
              <w:rPr>
                <w:rFonts w:ascii="Arial" w:hAnsi="Arial" w:cs="Arial"/>
                <w:sz w:val="20"/>
                <w:szCs w:val="20"/>
              </w:rPr>
              <w:t xml:space="preserve"> islands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22371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19738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88.2%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21716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97.1%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21780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97.4%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7C76">
              <w:rPr>
                <w:rFonts w:ascii="Arial" w:hAnsi="Arial" w:cs="Arial"/>
                <w:sz w:val="20"/>
                <w:szCs w:val="20"/>
              </w:rPr>
              <w:t>CpG</w:t>
            </w:r>
            <w:proofErr w:type="spellEnd"/>
            <w:r w:rsidRPr="00587C76">
              <w:rPr>
                <w:rFonts w:ascii="Arial" w:hAnsi="Arial" w:cs="Arial"/>
                <w:sz w:val="20"/>
                <w:szCs w:val="20"/>
              </w:rPr>
              <w:t xml:space="preserve"> shores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42731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34483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80.7%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42175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98.7%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42208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98.8%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7C76">
              <w:rPr>
                <w:rFonts w:ascii="Arial" w:hAnsi="Arial" w:cs="Arial"/>
                <w:sz w:val="20"/>
                <w:szCs w:val="20"/>
              </w:rPr>
              <w:t>CpG</w:t>
            </w:r>
            <w:proofErr w:type="spellEnd"/>
            <w:r w:rsidRPr="00587C76">
              <w:rPr>
                <w:rFonts w:ascii="Arial" w:hAnsi="Arial" w:cs="Arial"/>
                <w:sz w:val="20"/>
                <w:szCs w:val="20"/>
              </w:rPr>
              <w:t xml:space="preserve"> shelves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39045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27898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71.5%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38473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98.5%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38531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98.7%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GENCODE ECRs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310060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53652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17.3%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288259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93.0%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288725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93.1%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GENCODE ECRs ± 1 kb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138440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52510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37.9%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136750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98.8%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137213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99.1%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Regulatory elements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445282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75470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16.9%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437791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98.3%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437766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98.3%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RefSeq genes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22201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20755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93.5%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21873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98.5%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21928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98.8%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RefSeq 3' UTR regions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20179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13330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66.1%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19420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96.2%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19428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96.3%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RefSeq 5' UTR regions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19476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14378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73.8%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15859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81.4%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16019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82.2%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RefSeq genes, first exon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22201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16055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72.3%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17950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80.9%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18152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81.8%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RefSeq genes, gene body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20039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18837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94.0%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19795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98.8%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19838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99.0%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 xml:space="preserve">RefSeq gene upstream 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22201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19964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89.9%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21614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97.4%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21685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97.7%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Repetitive elements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8736248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77486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0.9%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8003776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91.6%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7960261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91.1%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DNA repeat elements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3388666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11005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0.3%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2963430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87.5%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2931075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86.5%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1471552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17377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1.2%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1408845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95.7%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1404693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95.5%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SINEs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1757674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21549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1.2%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1693893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96.4%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1691892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96.3%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LTRs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693621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13199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1.9%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665245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95.9%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666255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96.1%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RNA repeats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1405623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12901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0.9%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1255793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89.3%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1248899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88.9%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Satellite repeats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6289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8.9%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4427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70.4%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5302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84.3%</w:t>
            </w:r>
          </w:p>
        </w:tc>
      </w:tr>
      <w:tr w:rsidR="0081212E" w:rsidRPr="003560BF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Other repeats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5718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14.2%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5462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95.5%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5488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96.0%</w:t>
            </w:r>
          </w:p>
        </w:tc>
      </w:tr>
      <w:tr w:rsidR="0081212E" w:rsidTr="00587C76">
        <w:tc>
          <w:tcPr>
            <w:tcW w:w="2660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Unknown repeats</w:t>
            </w:r>
          </w:p>
        </w:tc>
        <w:tc>
          <w:tcPr>
            <w:tcW w:w="141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7105</w:t>
            </w:r>
          </w:p>
        </w:tc>
        <w:tc>
          <w:tcPr>
            <w:tcW w:w="1134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55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1.2%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6681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94.0%</w:t>
            </w:r>
          </w:p>
        </w:tc>
        <w:tc>
          <w:tcPr>
            <w:tcW w:w="1666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6657</w:t>
            </w:r>
          </w:p>
        </w:tc>
        <w:tc>
          <w:tcPr>
            <w:tcW w:w="1667" w:type="dxa"/>
          </w:tcPr>
          <w:p w:rsidR="0081212E" w:rsidRPr="00587C76" w:rsidRDefault="0081212E" w:rsidP="002912E0">
            <w:pPr>
              <w:rPr>
                <w:rFonts w:ascii="Arial" w:hAnsi="Arial" w:cs="Arial"/>
                <w:sz w:val="20"/>
                <w:szCs w:val="20"/>
              </w:rPr>
            </w:pPr>
            <w:r w:rsidRPr="00587C76">
              <w:rPr>
                <w:rFonts w:ascii="Arial" w:hAnsi="Arial" w:cs="Arial"/>
                <w:sz w:val="20"/>
                <w:szCs w:val="20"/>
              </w:rPr>
              <w:t>93.7%</w:t>
            </w:r>
          </w:p>
        </w:tc>
      </w:tr>
    </w:tbl>
    <w:p w:rsidR="00587C76" w:rsidRDefault="0081212E" w:rsidP="00587C7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7C5C">
        <w:rPr>
          <w:rFonts w:ascii="Arial" w:hAnsi="Arial" w:cs="Arial"/>
          <w:sz w:val="24"/>
          <w:szCs w:val="24"/>
        </w:rPr>
        <w:t xml:space="preserve">The theoretical maximum number of sites for different features of the genome </w:t>
      </w:r>
      <w:r w:rsidR="00587C76">
        <w:rPr>
          <w:rFonts w:ascii="Arial" w:hAnsi="Arial" w:cs="Arial"/>
          <w:sz w:val="24"/>
          <w:szCs w:val="24"/>
        </w:rPr>
        <w:t>(</w:t>
      </w:r>
      <w:r w:rsidR="00587C76" w:rsidRPr="00587C76">
        <w:rPr>
          <w:rFonts w:ascii="Arial" w:hAnsi="Arial" w:cs="Arial"/>
          <w:sz w:val="24"/>
          <w:szCs w:val="24"/>
        </w:rPr>
        <w:t>Sites or features in the genome</w:t>
      </w:r>
      <w:r w:rsidR="00587C76">
        <w:rPr>
          <w:rFonts w:ascii="Arial" w:hAnsi="Arial" w:cs="Arial"/>
          <w:sz w:val="24"/>
          <w:szCs w:val="24"/>
        </w:rPr>
        <w:t xml:space="preserve">) </w:t>
      </w:r>
      <w:r w:rsidR="002444F1">
        <w:rPr>
          <w:rFonts w:ascii="Arial" w:hAnsi="Arial" w:cs="Arial"/>
          <w:sz w:val="24"/>
          <w:szCs w:val="24"/>
        </w:rPr>
        <w:t>was calculated as follows:</w:t>
      </w:r>
      <w:r w:rsidR="002444F1" w:rsidRPr="002444F1">
        <w:rPr>
          <w:rFonts w:ascii="Arial" w:hAnsi="Arial" w:cs="Arial"/>
          <w:color w:val="000000"/>
          <w:sz w:val="24"/>
          <w:szCs w:val="24"/>
        </w:rPr>
        <w:t xml:space="preserve"> </w:t>
      </w:r>
      <w:r w:rsidR="002444F1" w:rsidRPr="004E7C5C">
        <w:rPr>
          <w:rFonts w:ascii="Arial" w:hAnsi="Arial" w:cs="Arial"/>
          <w:color w:val="000000"/>
          <w:sz w:val="24"/>
          <w:szCs w:val="24"/>
        </w:rPr>
        <w:t xml:space="preserve">The coordinates for </w:t>
      </w:r>
      <w:proofErr w:type="spellStart"/>
      <w:r w:rsidR="002444F1" w:rsidRPr="004E7C5C">
        <w:rPr>
          <w:rFonts w:ascii="Arial" w:hAnsi="Arial" w:cs="Arial"/>
          <w:color w:val="000000"/>
          <w:sz w:val="24"/>
          <w:szCs w:val="24"/>
        </w:rPr>
        <w:t>CpG</w:t>
      </w:r>
      <w:proofErr w:type="spellEnd"/>
      <w:r w:rsidR="002444F1" w:rsidRPr="004E7C5C">
        <w:rPr>
          <w:rFonts w:ascii="Arial" w:hAnsi="Arial" w:cs="Arial"/>
          <w:color w:val="000000"/>
          <w:sz w:val="24"/>
          <w:szCs w:val="24"/>
        </w:rPr>
        <w:t xml:space="preserve"> islands, regulatory elements, RefSeq genes (and other related elements) and human repetitive </w:t>
      </w:r>
      <w:r w:rsidR="002444F1" w:rsidRPr="004E7C5C">
        <w:rPr>
          <w:rFonts w:ascii="Arial" w:hAnsi="Arial" w:cs="Arial"/>
          <w:color w:val="000000"/>
          <w:sz w:val="24"/>
          <w:szCs w:val="24"/>
        </w:rPr>
        <w:lastRenderedPageBreak/>
        <w:t xml:space="preserve">elements were downloaded from the ENSEMBL database (v63). </w:t>
      </w:r>
      <w:proofErr w:type="spellStart"/>
      <w:r w:rsidR="002444F1" w:rsidRPr="004E7C5C">
        <w:rPr>
          <w:rFonts w:ascii="Arial" w:hAnsi="Arial" w:cs="Arial"/>
          <w:sz w:val="24"/>
          <w:szCs w:val="24"/>
        </w:rPr>
        <w:t>CpG</w:t>
      </w:r>
      <w:proofErr w:type="spellEnd"/>
      <w:r w:rsidR="002444F1" w:rsidRPr="004E7C5C">
        <w:rPr>
          <w:rFonts w:ascii="Arial" w:hAnsi="Arial" w:cs="Arial"/>
          <w:sz w:val="24"/>
          <w:szCs w:val="24"/>
        </w:rPr>
        <w:t xml:space="preserve"> island shores were calculated at 2 kb either side of an island and </w:t>
      </w:r>
      <w:proofErr w:type="spellStart"/>
      <w:r w:rsidR="002444F1" w:rsidRPr="004E7C5C">
        <w:rPr>
          <w:rFonts w:ascii="Arial" w:hAnsi="Arial" w:cs="Arial"/>
          <w:sz w:val="24"/>
          <w:szCs w:val="24"/>
        </w:rPr>
        <w:t>CpG</w:t>
      </w:r>
      <w:proofErr w:type="spellEnd"/>
      <w:r w:rsidR="002444F1" w:rsidRPr="004E7C5C">
        <w:rPr>
          <w:rFonts w:ascii="Arial" w:hAnsi="Arial" w:cs="Arial"/>
          <w:sz w:val="24"/>
          <w:szCs w:val="24"/>
        </w:rPr>
        <w:t xml:space="preserve"> shelves as the 2 kb extending from the shores. The number of </w:t>
      </w:r>
      <w:proofErr w:type="spellStart"/>
      <w:r w:rsidR="002444F1" w:rsidRPr="004E7C5C">
        <w:rPr>
          <w:rFonts w:ascii="Arial" w:hAnsi="Arial" w:cs="Arial"/>
          <w:sz w:val="24"/>
          <w:szCs w:val="24"/>
        </w:rPr>
        <w:t>CpG</w:t>
      </w:r>
      <w:proofErr w:type="spellEnd"/>
      <w:r w:rsidR="002444F1" w:rsidRPr="004E7C5C">
        <w:rPr>
          <w:rFonts w:ascii="Arial" w:hAnsi="Arial" w:cs="Arial"/>
          <w:sz w:val="24"/>
          <w:szCs w:val="24"/>
        </w:rPr>
        <w:t xml:space="preserve"> shelves is fewer than the number of </w:t>
      </w:r>
      <w:proofErr w:type="spellStart"/>
      <w:r w:rsidR="002444F1" w:rsidRPr="004E7C5C">
        <w:rPr>
          <w:rFonts w:ascii="Arial" w:hAnsi="Arial" w:cs="Arial"/>
          <w:sz w:val="24"/>
          <w:szCs w:val="24"/>
        </w:rPr>
        <w:t>CpG</w:t>
      </w:r>
      <w:proofErr w:type="spellEnd"/>
      <w:r w:rsidR="002444F1" w:rsidRPr="004E7C5C">
        <w:rPr>
          <w:rFonts w:ascii="Arial" w:hAnsi="Arial" w:cs="Arial"/>
          <w:sz w:val="24"/>
          <w:szCs w:val="24"/>
        </w:rPr>
        <w:t xml:space="preserve"> shores because if two </w:t>
      </w:r>
      <w:proofErr w:type="spellStart"/>
      <w:r w:rsidR="002444F1" w:rsidRPr="004E7C5C">
        <w:rPr>
          <w:rFonts w:ascii="Arial" w:hAnsi="Arial" w:cs="Arial"/>
          <w:sz w:val="24"/>
          <w:szCs w:val="24"/>
        </w:rPr>
        <w:t>CpG</w:t>
      </w:r>
      <w:proofErr w:type="spellEnd"/>
      <w:r w:rsidR="002444F1" w:rsidRPr="004E7C5C">
        <w:rPr>
          <w:rFonts w:ascii="Arial" w:hAnsi="Arial" w:cs="Arial"/>
          <w:sz w:val="24"/>
          <w:szCs w:val="24"/>
        </w:rPr>
        <w:t xml:space="preserve"> islands are less than 4 kb apart they will be separated by one or two shores but no shelves. </w:t>
      </w:r>
      <w:r w:rsidR="002444F1" w:rsidRPr="004E7C5C">
        <w:rPr>
          <w:rFonts w:ascii="Arial" w:hAnsi="Arial" w:cs="Arial"/>
          <w:color w:val="000000"/>
          <w:sz w:val="24"/>
          <w:szCs w:val="24"/>
        </w:rPr>
        <w:t>Coordinates for GENCODE ECRs were calculated from the GENCODE database (v8) by collapsing all overlapping GENCODE genes into expressed cluster regions (</w:t>
      </w:r>
      <w:r w:rsidR="002444F1" w:rsidRPr="00785A03">
        <w:rPr>
          <w:rFonts w:ascii="Arial" w:hAnsi="Arial" w:cs="Arial"/>
          <w:color w:val="000000"/>
          <w:sz w:val="24"/>
          <w:szCs w:val="24"/>
        </w:rPr>
        <w:t>see</w:t>
      </w:r>
      <w:r w:rsidR="00721764">
        <w:rPr>
          <w:rFonts w:ascii="Arial" w:hAnsi="Arial" w:cs="Arial"/>
          <w:color w:val="000000"/>
          <w:sz w:val="24"/>
          <w:szCs w:val="24"/>
        </w:rPr>
        <w:t xml:space="preserve"> Supporting Information</w:t>
      </w:r>
      <w:bookmarkStart w:id="0" w:name="_GoBack"/>
      <w:bookmarkEnd w:id="0"/>
      <w:r w:rsidR="002444F1" w:rsidRPr="00785A03">
        <w:rPr>
          <w:rFonts w:ascii="Arial" w:hAnsi="Arial" w:cs="Arial"/>
          <w:color w:val="000000"/>
          <w:sz w:val="24"/>
          <w:szCs w:val="24"/>
        </w:rPr>
        <w:t>). Coordinates for all CpN sites were extracted</w:t>
      </w:r>
      <w:r w:rsidR="002444F1" w:rsidRPr="004E7C5C">
        <w:rPr>
          <w:rFonts w:ascii="Arial" w:hAnsi="Arial" w:cs="Arial"/>
          <w:color w:val="000000"/>
          <w:sz w:val="24"/>
          <w:szCs w:val="24"/>
        </w:rPr>
        <w:t xml:space="preserve"> from the </w:t>
      </w:r>
      <w:r w:rsidR="002444F1">
        <w:rPr>
          <w:rFonts w:ascii="Arial" w:hAnsi="Arial" w:cs="Arial"/>
          <w:color w:val="000000"/>
          <w:sz w:val="24"/>
          <w:szCs w:val="24"/>
        </w:rPr>
        <w:t xml:space="preserve">GRCh37 1000 Genomes </w:t>
      </w:r>
      <w:r w:rsidR="002444F1" w:rsidRPr="004E7C5C">
        <w:rPr>
          <w:rFonts w:ascii="Arial" w:hAnsi="Arial" w:cs="Arial"/>
          <w:color w:val="000000"/>
          <w:sz w:val="24"/>
          <w:szCs w:val="24"/>
        </w:rPr>
        <w:t>reference genome (</w:t>
      </w:r>
      <w:r w:rsidR="002444F1" w:rsidRPr="00F70C09">
        <w:rPr>
          <w:rFonts w:ascii="Arial" w:hAnsi="Arial" w:cs="Arial"/>
          <w:sz w:val="24"/>
          <w:szCs w:val="24"/>
        </w:rPr>
        <w:t>ftp://ftp.1000genomes.ebi.ac.uk/vol1/ftp/technical/reference/human_g1k_v37.fasta.gz</w:t>
      </w:r>
      <w:r w:rsidR="002444F1" w:rsidRPr="004E7C5C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CB7006" w:rsidRPr="00CB7006" w:rsidRDefault="00CB7006" w:rsidP="00CB700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E7C5C">
        <w:rPr>
          <w:rFonts w:ascii="Arial" w:hAnsi="Arial" w:cs="Arial"/>
          <w:sz w:val="24"/>
          <w:szCs w:val="24"/>
        </w:rPr>
        <w:t xml:space="preserve">The coverage shown for the </w:t>
      </w:r>
      <w:proofErr w:type="spellStart"/>
      <w:r w:rsidRPr="004E7C5C">
        <w:rPr>
          <w:rFonts w:ascii="Arial" w:hAnsi="Arial" w:cs="Arial"/>
          <w:sz w:val="24"/>
          <w:szCs w:val="24"/>
        </w:rPr>
        <w:t>HumanMethylation</w:t>
      </w:r>
      <w:proofErr w:type="spellEnd"/>
      <w:r w:rsidRPr="004E7C5C">
        <w:rPr>
          <w:rFonts w:ascii="Arial" w:hAnsi="Arial" w:cs="Arial"/>
          <w:sz w:val="24"/>
          <w:szCs w:val="24"/>
        </w:rPr>
        <w:t xml:space="preserve"> 45</w:t>
      </w:r>
      <w:r>
        <w:rPr>
          <w:rFonts w:ascii="Arial" w:hAnsi="Arial" w:cs="Arial"/>
          <w:sz w:val="24"/>
          <w:szCs w:val="24"/>
        </w:rPr>
        <w:t xml:space="preserve">0K (Sites covered by design) is based on the array design </w:t>
      </w:r>
      <w:r w:rsidRPr="004E7C5C">
        <w:rPr>
          <w:rFonts w:ascii="Arial" w:hAnsi="Arial" w:cs="Arial"/>
          <w:sz w:val="24"/>
          <w:szCs w:val="24"/>
        </w:rPr>
        <w:t xml:space="preserve">and reported as the number of </w:t>
      </w:r>
      <w:r>
        <w:rPr>
          <w:rFonts w:ascii="Arial" w:hAnsi="Arial" w:cs="Arial"/>
          <w:sz w:val="24"/>
          <w:szCs w:val="24"/>
        </w:rPr>
        <w:t>regions or features with</w:t>
      </w:r>
      <w:r w:rsidRPr="004E7C5C">
        <w:rPr>
          <w:rFonts w:ascii="Arial" w:hAnsi="Arial" w:cs="Arial"/>
          <w:sz w:val="24"/>
          <w:szCs w:val="24"/>
        </w:rPr>
        <w:t xml:space="preserve"> at least one probe p</w:t>
      </w:r>
      <w:r>
        <w:rPr>
          <w:rFonts w:ascii="Arial" w:hAnsi="Arial" w:cs="Arial"/>
          <w:sz w:val="24"/>
          <w:szCs w:val="24"/>
        </w:rPr>
        <w:t xml:space="preserve">resent on the array mapping to them. </w:t>
      </w:r>
      <w:r w:rsidR="00587C76">
        <w:rPr>
          <w:rFonts w:ascii="Arial" w:hAnsi="Arial" w:cs="Arial"/>
          <w:sz w:val="24"/>
          <w:szCs w:val="24"/>
        </w:rPr>
        <w:t xml:space="preserve">The following column gives the percentage of the theoretical maximum number of sites covered for each feature by the </w:t>
      </w:r>
      <w:proofErr w:type="spellStart"/>
      <w:r w:rsidR="00587C76">
        <w:rPr>
          <w:rFonts w:ascii="Arial" w:hAnsi="Arial" w:cs="Arial"/>
          <w:sz w:val="24"/>
          <w:szCs w:val="24"/>
        </w:rPr>
        <w:t>HumanMethylation</w:t>
      </w:r>
      <w:proofErr w:type="spellEnd"/>
      <w:r w:rsidR="00587C76">
        <w:rPr>
          <w:rFonts w:ascii="Arial" w:hAnsi="Arial" w:cs="Arial"/>
          <w:sz w:val="24"/>
          <w:szCs w:val="24"/>
        </w:rPr>
        <w:t xml:space="preserve"> 450K.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1212E" w:rsidRPr="00CB7006" w:rsidRDefault="0081212E" w:rsidP="00CB700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7C5C">
        <w:rPr>
          <w:rFonts w:ascii="Arial" w:hAnsi="Arial" w:cs="Arial"/>
          <w:sz w:val="24"/>
          <w:szCs w:val="24"/>
        </w:rPr>
        <w:t xml:space="preserve">For MeDIP-seq, the region or feature was defined as being covered if any part of the region or feature was covered by or overlapped with one or more sequencing reads with a mapping quality score ≥ 10. </w:t>
      </w:r>
      <w:r w:rsidR="00CB7006">
        <w:rPr>
          <w:rFonts w:ascii="Arial" w:hAnsi="Arial" w:cs="Arial"/>
          <w:color w:val="000000"/>
          <w:sz w:val="24"/>
          <w:szCs w:val="24"/>
        </w:rPr>
        <w:t xml:space="preserve">The number of sites covered for each sample (GM01240 (XX) or GM01247 (XY)) is </w:t>
      </w:r>
      <w:r w:rsidR="00CB7006" w:rsidRPr="00CB7006">
        <w:rPr>
          <w:rFonts w:ascii="Arial" w:hAnsi="Arial" w:cs="Arial"/>
          <w:color w:val="000000"/>
          <w:sz w:val="24"/>
          <w:szCs w:val="24"/>
        </w:rPr>
        <w:t>given (</w:t>
      </w:r>
      <w:r w:rsidR="00CB7006" w:rsidRPr="00CB7006">
        <w:rPr>
          <w:rFonts w:ascii="Arial" w:hAnsi="Arial" w:cs="Arial"/>
          <w:sz w:val="24"/>
          <w:szCs w:val="24"/>
        </w:rPr>
        <w:t>Sites covered by ≥1 reads) as well as the percentage of the theoretical maximum number of sites</w:t>
      </w:r>
      <w:r w:rsidR="00CB7006">
        <w:rPr>
          <w:rFonts w:ascii="Arial" w:hAnsi="Arial" w:cs="Arial"/>
          <w:sz w:val="24"/>
          <w:szCs w:val="24"/>
        </w:rPr>
        <w:t xml:space="preserve"> covered for each feature </w:t>
      </w:r>
      <w:r w:rsidR="00CB7006" w:rsidRPr="00CB7006">
        <w:rPr>
          <w:rFonts w:ascii="Arial" w:hAnsi="Arial" w:cs="Arial"/>
          <w:sz w:val="24"/>
          <w:szCs w:val="24"/>
        </w:rPr>
        <w:t>(Percentage of genomic sites covered)</w:t>
      </w:r>
      <w:r w:rsidR="00CB7006">
        <w:rPr>
          <w:rFonts w:ascii="Arial" w:hAnsi="Arial" w:cs="Arial"/>
          <w:sz w:val="24"/>
          <w:szCs w:val="24"/>
        </w:rPr>
        <w:t>.</w:t>
      </w:r>
    </w:p>
    <w:sectPr w:rsidR="0081212E" w:rsidRPr="00CB7006" w:rsidSect="0081212E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2E"/>
    <w:rsid w:val="002444F1"/>
    <w:rsid w:val="004B343E"/>
    <w:rsid w:val="00587C76"/>
    <w:rsid w:val="006E1228"/>
    <w:rsid w:val="00721764"/>
    <w:rsid w:val="0081212E"/>
    <w:rsid w:val="00861366"/>
    <w:rsid w:val="00BE608D"/>
    <w:rsid w:val="00CB7006"/>
    <w:rsid w:val="00D7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2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1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2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1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1E77-598C-4E45-8E3E-B6828AF8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Coffey</dc:creator>
  <cp:lastModifiedBy>Alison Coffey</cp:lastModifiedBy>
  <cp:revision>5</cp:revision>
  <dcterms:created xsi:type="dcterms:W3CDTF">2012-03-20T15:56:00Z</dcterms:created>
  <dcterms:modified xsi:type="dcterms:W3CDTF">2012-03-21T15:11:00Z</dcterms:modified>
</cp:coreProperties>
</file>