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39" w:rsidRDefault="00911539" w:rsidP="00911539"/>
    <w:p w:rsidR="00911539" w:rsidRPr="000F148D" w:rsidRDefault="00911539" w:rsidP="00911539">
      <w:pPr>
        <w:ind w:firstLine="0"/>
      </w:pPr>
      <w:r w:rsidRPr="000F148D">
        <w:rPr>
          <w:noProof/>
          <w:lang w:eastAsia="en-AU"/>
        </w:rPr>
        <w:drawing>
          <wp:inline distT="0" distB="0" distL="0" distR="0">
            <wp:extent cx="5731510" cy="2805133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E656D0">
        <w:rPr>
          <w:rFonts w:ascii="Arial" w:hAnsi="Arial" w:cs="Arial"/>
          <w:sz w:val="19"/>
          <w:szCs w:val="19"/>
        </w:rPr>
        <w:t xml:space="preserve">Figure </w:t>
      </w:r>
      <w:r>
        <w:rPr>
          <w:rFonts w:ascii="Arial" w:hAnsi="Arial" w:cs="Arial"/>
          <w:sz w:val="19"/>
          <w:szCs w:val="19"/>
        </w:rPr>
        <w:t xml:space="preserve">S1 </w:t>
      </w:r>
    </w:p>
    <w:p w:rsidR="00980295" w:rsidRDefault="00911539"/>
    <w:sectPr w:rsidR="00980295" w:rsidSect="008C0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539"/>
    <w:rsid w:val="00375C57"/>
    <w:rsid w:val="005810D6"/>
    <w:rsid w:val="005E6FEB"/>
    <w:rsid w:val="005F5667"/>
    <w:rsid w:val="00681678"/>
    <w:rsid w:val="006A55AA"/>
    <w:rsid w:val="0077610C"/>
    <w:rsid w:val="007F5BBA"/>
    <w:rsid w:val="008C0679"/>
    <w:rsid w:val="008F0324"/>
    <w:rsid w:val="00911539"/>
    <w:rsid w:val="00AF144F"/>
    <w:rsid w:val="00B00222"/>
    <w:rsid w:val="00B345B0"/>
    <w:rsid w:val="00B96DDA"/>
    <w:rsid w:val="00EA2841"/>
    <w:rsid w:val="00EA50F4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Jessica%20Maddams\Desktop\Maddams%20and%20McCormick%20PLoS%201%2008.2011\Revision\Size%20at%20Age%20plot%20and%20data%20Pomacentrus%20amboinensis%20females%20study%20site%20and%20study%20population%20for%20supplementry%20materi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AU"/>
  <c:chart>
    <c:plotArea>
      <c:layout>
        <c:manualLayout>
          <c:layoutTarget val="inner"/>
          <c:xMode val="edge"/>
          <c:yMode val="edge"/>
          <c:x val="7.4675383867840603E-2"/>
          <c:y val="7.6543394442984303E-2"/>
          <c:w val="0.87175393776153065"/>
          <c:h val="0.80247107077322233"/>
        </c:manualLayout>
      </c:layout>
      <c:scatterChart>
        <c:scatterStyle val="lineMarker"/>
        <c:ser>
          <c:idx val="1"/>
          <c:order val="0"/>
          <c:tx>
            <c:strRef>
              <c:f>Sheet1!$I$2</c:f>
              <c:strCache>
                <c:ptCount val="1"/>
                <c:pt idx="0">
                  <c:v>♀ Study Site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6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rgbClr val="808080"/>
                </a:solidFill>
                <a:prstDash val="solid"/>
              </a:ln>
            </c:spPr>
          </c:marker>
          <c:xVal>
            <c:numRef>
              <c:f>Sheet1!$Q$28:$Q$92</c:f>
              <c:numCache>
                <c:formatCode>General</c:formatCode>
                <c:ptCount val="6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2.5</c:v>
                </c:pt>
                <c:pt idx="4">
                  <c:v>2.5</c:v>
                </c:pt>
                <c:pt idx="5">
                  <c:v>2.5</c:v>
                </c:pt>
                <c:pt idx="6">
                  <c:v>2.5</c:v>
                </c:pt>
                <c:pt idx="7">
                  <c:v>2.5</c:v>
                </c:pt>
                <c:pt idx="8">
                  <c:v>2.5</c:v>
                </c:pt>
                <c:pt idx="9">
                  <c:v>2.5</c:v>
                </c:pt>
                <c:pt idx="10">
                  <c:v>2.5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3.5</c:v>
                </c:pt>
                <c:pt idx="18">
                  <c:v>3.5</c:v>
                </c:pt>
                <c:pt idx="19">
                  <c:v>3.5</c:v>
                </c:pt>
                <c:pt idx="20">
                  <c:v>3.5</c:v>
                </c:pt>
                <c:pt idx="21">
                  <c:v>3.5</c:v>
                </c:pt>
                <c:pt idx="22">
                  <c:v>3.5</c:v>
                </c:pt>
                <c:pt idx="23">
                  <c:v>3.5</c:v>
                </c:pt>
                <c:pt idx="24">
                  <c:v>3.5</c:v>
                </c:pt>
                <c:pt idx="25">
                  <c:v>3.5</c:v>
                </c:pt>
                <c:pt idx="26">
                  <c:v>3.5</c:v>
                </c:pt>
                <c:pt idx="27">
                  <c:v>3.5</c:v>
                </c:pt>
                <c:pt idx="28">
                  <c:v>4</c:v>
                </c:pt>
                <c:pt idx="29">
                  <c:v>4</c:v>
                </c:pt>
                <c:pt idx="30">
                  <c:v>4</c:v>
                </c:pt>
                <c:pt idx="31">
                  <c:v>4</c:v>
                </c:pt>
                <c:pt idx="32">
                  <c:v>4</c:v>
                </c:pt>
                <c:pt idx="33">
                  <c:v>4</c:v>
                </c:pt>
                <c:pt idx="34">
                  <c:v>4</c:v>
                </c:pt>
                <c:pt idx="35">
                  <c:v>4</c:v>
                </c:pt>
                <c:pt idx="36">
                  <c:v>4</c:v>
                </c:pt>
                <c:pt idx="37">
                  <c:v>4</c:v>
                </c:pt>
                <c:pt idx="38">
                  <c:v>4</c:v>
                </c:pt>
                <c:pt idx="39">
                  <c:v>4</c:v>
                </c:pt>
                <c:pt idx="40">
                  <c:v>4</c:v>
                </c:pt>
                <c:pt idx="41">
                  <c:v>4</c:v>
                </c:pt>
                <c:pt idx="42">
                  <c:v>4</c:v>
                </c:pt>
                <c:pt idx="43">
                  <c:v>4.5</c:v>
                </c:pt>
                <c:pt idx="44">
                  <c:v>4.5</c:v>
                </c:pt>
                <c:pt idx="45">
                  <c:v>4.5</c:v>
                </c:pt>
                <c:pt idx="46">
                  <c:v>4.5</c:v>
                </c:pt>
                <c:pt idx="47">
                  <c:v>4.5</c:v>
                </c:pt>
                <c:pt idx="48">
                  <c:v>4.5</c:v>
                </c:pt>
                <c:pt idx="49">
                  <c:v>4.5</c:v>
                </c:pt>
                <c:pt idx="50">
                  <c:v>4.5</c:v>
                </c:pt>
                <c:pt idx="51">
                  <c:v>4.5</c:v>
                </c:pt>
                <c:pt idx="52">
                  <c:v>4.5</c:v>
                </c:pt>
                <c:pt idx="53">
                  <c:v>4.5</c:v>
                </c:pt>
                <c:pt idx="54">
                  <c:v>4.5</c:v>
                </c:pt>
                <c:pt idx="55">
                  <c:v>5</c:v>
                </c:pt>
                <c:pt idx="56">
                  <c:v>5</c:v>
                </c:pt>
                <c:pt idx="57">
                  <c:v>5</c:v>
                </c:pt>
                <c:pt idx="58">
                  <c:v>5</c:v>
                </c:pt>
                <c:pt idx="59">
                  <c:v>5</c:v>
                </c:pt>
                <c:pt idx="60">
                  <c:v>5.5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4.5</c:v>
                </c:pt>
              </c:numCache>
            </c:numRef>
          </c:xVal>
          <c:yVal>
            <c:numRef>
              <c:f>Sheet1!$P$28:$P$92</c:f>
              <c:numCache>
                <c:formatCode>General</c:formatCode>
                <c:ptCount val="65"/>
                <c:pt idx="0">
                  <c:v>32.9</c:v>
                </c:pt>
                <c:pt idx="1">
                  <c:v>52.3</c:v>
                </c:pt>
                <c:pt idx="2">
                  <c:v>62.8</c:v>
                </c:pt>
                <c:pt idx="3">
                  <c:v>40.9</c:v>
                </c:pt>
                <c:pt idx="4">
                  <c:v>42</c:v>
                </c:pt>
                <c:pt idx="5">
                  <c:v>42</c:v>
                </c:pt>
                <c:pt idx="6">
                  <c:v>42.3</c:v>
                </c:pt>
                <c:pt idx="7">
                  <c:v>47.3</c:v>
                </c:pt>
                <c:pt idx="8">
                  <c:v>49</c:v>
                </c:pt>
                <c:pt idx="9">
                  <c:v>51</c:v>
                </c:pt>
                <c:pt idx="10">
                  <c:v>52.7</c:v>
                </c:pt>
                <c:pt idx="11">
                  <c:v>34</c:v>
                </c:pt>
                <c:pt idx="12">
                  <c:v>42.7</c:v>
                </c:pt>
                <c:pt idx="13">
                  <c:v>49</c:v>
                </c:pt>
                <c:pt idx="14">
                  <c:v>51.3</c:v>
                </c:pt>
                <c:pt idx="15">
                  <c:v>56.5</c:v>
                </c:pt>
                <c:pt idx="16">
                  <c:v>59.4</c:v>
                </c:pt>
                <c:pt idx="17">
                  <c:v>41.1</c:v>
                </c:pt>
                <c:pt idx="18">
                  <c:v>41.6</c:v>
                </c:pt>
                <c:pt idx="19">
                  <c:v>43.2</c:v>
                </c:pt>
                <c:pt idx="20">
                  <c:v>43.3</c:v>
                </c:pt>
                <c:pt idx="21">
                  <c:v>48</c:v>
                </c:pt>
                <c:pt idx="22">
                  <c:v>51.3</c:v>
                </c:pt>
                <c:pt idx="23">
                  <c:v>52</c:v>
                </c:pt>
                <c:pt idx="24">
                  <c:v>52.2</c:v>
                </c:pt>
                <c:pt idx="25">
                  <c:v>54.6</c:v>
                </c:pt>
                <c:pt idx="26">
                  <c:v>54.7</c:v>
                </c:pt>
                <c:pt idx="27">
                  <c:v>58.3</c:v>
                </c:pt>
                <c:pt idx="28">
                  <c:v>47.4</c:v>
                </c:pt>
                <c:pt idx="29">
                  <c:v>50</c:v>
                </c:pt>
                <c:pt idx="30">
                  <c:v>50</c:v>
                </c:pt>
                <c:pt idx="31">
                  <c:v>51.1</c:v>
                </c:pt>
                <c:pt idx="32">
                  <c:v>51.3</c:v>
                </c:pt>
                <c:pt idx="33">
                  <c:v>51.5</c:v>
                </c:pt>
                <c:pt idx="34">
                  <c:v>51.5</c:v>
                </c:pt>
                <c:pt idx="35">
                  <c:v>51.8</c:v>
                </c:pt>
                <c:pt idx="36">
                  <c:v>53</c:v>
                </c:pt>
                <c:pt idx="37">
                  <c:v>53.4</c:v>
                </c:pt>
                <c:pt idx="38">
                  <c:v>55</c:v>
                </c:pt>
                <c:pt idx="39">
                  <c:v>56.6</c:v>
                </c:pt>
                <c:pt idx="40">
                  <c:v>57.5</c:v>
                </c:pt>
                <c:pt idx="41">
                  <c:v>57.6</c:v>
                </c:pt>
                <c:pt idx="42">
                  <c:v>57.6</c:v>
                </c:pt>
                <c:pt idx="43">
                  <c:v>47.6</c:v>
                </c:pt>
                <c:pt idx="44">
                  <c:v>49</c:v>
                </c:pt>
                <c:pt idx="45">
                  <c:v>49</c:v>
                </c:pt>
                <c:pt idx="46">
                  <c:v>50</c:v>
                </c:pt>
                <c:pt idx="47">
                  <c:v>51</c:v>
                </c:pt>
                <c:pt idx="48">
                  <c:v>51.4</c:v>
                </c:pt>
                <c:pt idx="49">
                  <c:v>52</c:v>
                </c:pt>
                <c:pt idx="50">
                  <c:v>54</c:v>
                </c:pt>
                <c:pt idx="51">
                  <c:v>54.3</c:v>
                </c:pt>
                <c:pt idx="52">
                  <c:v>58.2</c:v>
                </c:pt>
                <c:pt idx="53">
                  <c:v>60.8</c:v>
                </c:pt>
                <c:pt idx="54">
                  <c:v>61</c:v>
                </c:pt>
                <c:pt idx="55">
                  <c:v>39.5</c:v>
                </c:pt>
                <c:pt idx="56">
                  <c:v>42.6</c:v>
                </c:pt>
                <c:pt idx="57">
                  <c:v>46.1</c:v>
                </c:pt>
                <c:pt idx="58">
                  <c:v>47.9</c:v>
                </c:pt>
                <c:pt idx="59">
                  <c:v>60.4</c:v>
                </c:pt>
                <c:pt idx="60">
                  <c:v>63.3</c:v>
                </c:pt>
                <c:pt idx="61">
                  <c:v>43</c:v>
                </c:pt>
                <c:pt idx="62">
                  <c:v>50.2</c:v>
                </c:pt>
                <c:pt idx="63">
                  <c:v>55</c:v>
                </c:pt>
                <c:pt idx="64">
                  <c:v>48.8</c:v>
                </c:pt>
              </c:numCache>
            </c:numRef>
          </c:yVal>
        </c:ser>
        <c:ser>
          <c:idx val="0"/>
          <c:order val="1"/>
          <c:tx>
            <c:strRef>
              <c:f>Sheet1!$J$2</c:f>
              <c:strCache>
                <c:ptCount val="1"/>
                <c:pt idx="0">
                  <c:v>♀ Breeding Pairs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4"/>
            <c:spPr>
              <a:solidFill>
                <a:schemeClr val="tx1">
                  <a:lumMod val="95000"/>
                  <a:lumOff val="5000"/>
                </a:schemeClr>
              </a:solidFill>
            </c:spPr>
          </c:marker>
          <c:xVal>
            <c:numRef>
              <c:f>Sheet1!$J$28:$J$42</c:f>
              <c:numCache>
                <c:formatCode>General</c:formatCode>
                <c:ptCount val="15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3.5</c:v>
                </c:pt>
                <c:pt idx="10">
                  <c:v>6</c:v>
                </c:pt>
                <c:pt idx="11">
                  <c:v>3</c:v>
                </c:pt>
                <c:pt idx="12">
                  <c:v>5</c:v>
                </c:pt>
                <c:pt idx="13">
                  <c:v>5</c:v>
                </c:pt>
                <c:pt idx="14">
                  <c:v>5</c:v>
                </c:pt>
              </c:numCache>
            </c:numRef>
          </c:xVal>
          <c:yVal>
            <c:numRef>
              <c:f>Sheet1!$I$28:$I$42</c:f>
              <c:numCache>
                <c:formatCode>General</c:formatCode>
                <c:ptCount val="15"/>
                <c:pt idx="0">
                  <c:v>52.2</c:v>
                </c:pt>
                <c:pt idx="1">
                  <c:v>47.4</c:v>
                </c:pt>
                <c:pt idx="2">
                  <c:v>52.4</c:v>
                </c:pt>
                <c:pt idx="3">
                  <c:v>50.6</c:v>
                </c:pt>
                <c:pt idx="4">
                  <c:v>51</c:v>
                </c:pt>
                <c:pt idx="5">
                  <c:v>60</c:v>
                </c:pt>
                <c:pt idx="6">
                  <c:v>57.8</c:v>
                </c:pt>
                <c:pt idx="7">
                  <c:v>59.8</c:v>
                </c:pt>
                <c:pt idx="8">
                  <c:v>57.4</c:v>
                </c:pt>
                <c:pt idx="9">
                  <c:v>57</c:v>
                </c:pt>
                <c:pt idx="10">
                  <c:v>66.400000000000006</c:v>
                </c:pt>
                <c:pt idx="11">
                  <c:v>62.4</c:v>
                </c:pt>
                <c:pt idx="12">
                  <c:v>62.6</c:v>
                </c:pt>
                <c:pt idx="13">
                  <c:v>65</c:v>
                </c:pt>
                <c:pt idx="14">
                  <c:v>62.4</c:v>
                </c:pt>
              </c:numCache>
            </c:numRef>
          </c:yVal>
        </c:ser>
        <c:axId val="171731968"/>
        <c:axId val="177526272"/>
      </c:scatterChart>
      <c:valAx>
        <c:axId val="17173196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Age (years)</a:t>
                </a:r>
              </a:p>
            </c:rich>
          </c:tx>
          <c:layout>
            <c:manualLayout>
              <c:xMode val="edge"/>
              <c:yMode val="edge"/>
              <c:x val="0.45292242548231332"/>
              <c:y val="0.9358048993875788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7526272"/>
        <c:crosses val="autoZero"/>
        <c:crossBetween val="midCat"/>
      </c:valAx>
      <c:valAx>
        <c:axId val="177526272"/>
        <c:scaling>
          <c:orientation val="minMax"/>
          <c:min val="0"/>
        </c:scaling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AU"/>
                  <a:t>Standard Length (mm)</a:t>
                </a:r>
              </a:p>
            </c:rich>
          </c:tx>
          <c:layout>
            <c:manualLayout>
              <c:xMode val="edge"/>
              <c:yMode val="edge"/>
              <c:x val="8.1169234510338681E-3"/>
              <c:y val="0.3111119211950366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71731968"/>
        <c:crosses val="autoZero"/>
        <c:crossBetween val="midCat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en-US"/>
          </a:p>
        </c:txPr>
      </c:legendEntry>
    </c:legend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0.79339</cdr:x>
      <cdr:y>0.55556</cdr:y>
    </cdr:from>
    <cdr:to>
      <cdr:x>0.9374</cdr:x>
      <cdr:y>0.63169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547319" y="1558420"/>
          <a:ext cx="825394" cy="2135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AU" sz="900">
              <a:latin typeface="Arial" pitchFamily="34" charset="0"/>
              <a:cs typeface="Arial" pitchFamily="34" charset="0"/>
            </a:rPr>
            <a:t>adjusted R</a:t>
          </a:r>
          <a:r>
            <a:rPr lang="en-AU" sz="900" baseline="30000">
              <a:latin typeface="Arial" pitchFamily="34" charset="0"/>
              <a:cs typeface="Arial" pitchFamily="34" charset="0"/>
            </a:rPr>
            <a:t>2</a:t>
          </a:r>
          <a:r>
            <a:rPr lang="en-AU" sz="900" baseline="0">
              <a:latin typeface="Arial" pitchFamily="34" charset="0"/>
              <a:cs typeface="Arial" pitchFamily="34" charset="0"/>
            </a:rPr>
            <a:t> = 0.083</a:t>
          </a:r>
          <a:endParaRPr lang="en-AU" sz="900">
            <a:latin typeface="Arial" pitchFamily="34" charset="0"/>
            <a:cs typeface="Arial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Maddams</dc:creator>
  <cp:lastModifiedBy>Jessica Maddams</cp:lastModifiedBy>
  <cp:revision>1</cp:revision>
  <dcterms:created xsi:type="dcterms:W3CDTF">2012-10-07T08:39:00Z</dcterms:created>
  <dcterms:modified xsi:type="dcterms:W3CDTF">2012-10-07T08:39:00Z</dcterms:modified>
</cp:coreProperties>
</file>