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F0" w:rsidRPr="007B2BD8" w:rsidRDefault="00721AF0" w:rsidP="00721AF0">
      <w:pPr>
        <w:rPr>
          <w:rFonts w:ascii="Helvetica" w:hAnsi="Helvetica"/>
          <w:b/>
        </w:rPr>
      </w:pPr>
      <w:r w:rsidRPr="007B2BD8">
        <w:rPr>
          <w:rFonts w:ascii="Helvetica" w:hAnsi="Helvetica"/>
          <w:b/>
        </w:rPr>
        <w:t>Two-alternative forced choice direction discrimination tasks</w:t>
      </w:r>
    </w:p>
    <w:tbl>
      <w:tblPr>
        <w:tblW w:w="142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1260"/>
        <w:gridCol w:w="990"/>
        <w:gridCol w:w="990"/>
        <w:gridCol w:w="900"/>
        <w:gridCol w:w="900"/>
        <w:gridCol w:w="990"/>
        <w:gridCol w:w="900"/>
        <w:gridCol w:w="990"/>
        <w:gridCol w:w="990"/>
        <w:gridCol w:w="990"/>
        <w:gridCol w:w="1170"/>
        <w:gridCol w:w="900"/>
        <w:gridCol w:w="1440"/>
      </w:tblGrid>
      <w:tr w:rsidR="00721AF0" w:rsidRPr="007B2BD8">
        <w:trPr>
          <w:trHeight w:val="990"/>
        </w:trPr>
        <w:tc>
          <w:tcPr>
            <w:tcW w:w="2083" w:type="dxa"/>
            <w:gridSpan w:val="2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Stimulus Duration (ms)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Dot Number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Density</w:t>
            </w:r>
          </w:p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(Dots / deg</w:t>
            </w:r>
            <w:r w:rsidRPr="007B2BD8">
              <w:rPr>
                <w:rFonts w:ascii="Helvetica" w:hAnsi="Helvetica"/>
                <w:b/>
                <w:bCs/>
                <w:sz w:val="18"/>
                <w:szCs w:val="20"/>
                <w:vertAlign w:val="superscript"/>
              </w:rPr>
              <w:t>2</w:t>
            </w: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Speed</w:t>
            </w:r>
          </w:p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(Deg/s)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Dot Size</w:t>
            </w:r>
          </w:p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(Visual degrees)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ind w:right="-34"/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Sample Size</w:t>
            </w:r>
          </w:p>
          <w:p w:rsidR="00721AF0" w:rsidRPr="007B2BD8" w:rsidRDefault="00721AF0" w:rsidP="00D67B48">
            <w:pPr>
              <w:ind w:right="-34"/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(ASC</w:t>
            </w:r>
            <w:r w:rsidR="0093661F">
              <w:rPr>
                <w:rFonts w:ascii="Helvetica" w:hAnsi="Helvetica"/>
                <w:b/>
                <w:bCs/>
                <w:sz w:val="18"/>
                <w:szCs w:val="20"/>
              </w:rPr>
              <w:t>/</w:t>
            </w:r>
          </w:p>
          <w:p w:rsidR="00721AF0" w:rsidRPr="007B2BD8" w:rsidRDefault="00721AF0" w:rsidP="00D67B48">
            <w:pPr>
              <w:ind w:right="-34"/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Con)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Fixation Point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Screen</w:t>
            </w:r>
          </w:p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Distance (cm)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A86A27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>
              <w:rPr>
                <w:rFonts w:ascii="Helvetica" w:hAnsi="Helvetica"/>
                <w:b/>
                <w:bCs/>
                <w:sz w:val="18"/>
                <w:szCs w:val="20"/>
              </w:rPr>
              <w:t xml:space="preserve">Age </w:t>
            </w:r>
            <w:r w:rsidR="00721AF0" w:rsidRPr="007B2BD8">
              <w:rPr>
                <w:rFonts w:ascii="Helvetica" w:hAnsi="Helvetica"/>
                <w:b/>
                <w:bCs/>
                <w:sz w:val="18"/>
                <w:szCs w:val="20"/>
              </w:rPr>
              <w:t>Matched Groups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Method of Threshold Estimation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Mean Age in Years</w:t>
            </w:r>
          </w:p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(ASC: Con)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1AF0" w:rsidRPr="007B2BD8" w:rsidRDefault="00721AF0" w:rsidP="00D67B48">
            <w:pPr>
              <w:spacing w:before="2" w:after="2"/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Results</w:t>
            </w:r>
          </w:p>
        </w:tc>
      </w:tr>
      <w:tr w:rsidR="00721AF0" w:rsidRPr="007B2BD8">
        <w:trPr>
          <w:trHeight w:val="480"/>
        </w:trPr>
        <w:tc>
          <w:tcPr>
            <w:tcW w:w="823" w:type="dxa"/>
            <w:vMerge w:val="restart"/>
            <w:shd w:val="clear" w:color="auto" w:fill="auto"/>
            <w:textDirection w:val="btLr"/>
            <w:vAlign w:val="center"/>
          </w:tcPr>
          <w:p w:rsidR="00721AF0" w:rsidRPr="007B2BD8" w:rsidRDefault="00721AF0" w:rsidP="00D67B48">
            <w:pPr>
              <w:ind w:left="113" w:right="113"/>
              <w:jc w:val="center"/>
              <w:rPr>
                <w:rFonts w:ascii="Helvetica" w:hAnsi="Helvetica"/>
                <w:b/>
                <w:sz w:val="18"/>
                <w:szCs w:val="20"/>
              </w:rPr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Current study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200 - 1500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150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1.85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5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0.04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20 / 20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yes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57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yes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constant stimuli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30 / 24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721AF0" w:rsidRPr="007B2BD8" w:rsidRDefault="00721AF0" w:rsidP="0093661F">
            <w:pPr>
              <w:spacing w:before="2" w:after="2"/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Deficit in ASC at short durations</w:t>
            </w:r>
            <w:r w:rsidR="0093661F">
              <w:rPr>
                <w:rFonts w:ascii="Helvetica" w:hAnsi="Helvetica"/>
                <w:sz w:val="18"/>
                <w:szCs w:val="20"/>
              </w:rPr>
              <w:t xml:space="preserve"> only</w:t>
            </w:r>
            <w:r w:rsidRPr="007B2BD8">
              <w:rPr>
                <w:rFonts w:ascii="Helvetica" w:hAnsi="Helvetica"/>
                <w:sz w:val="18"/>
                <w:szCs w:val="20"/>
              </w:rPr>
              <w:t xml:space="preserve"> </w:t>
            </w:r>
          </w:p>
        </w:tc>
      </w:tr>
      <w:tr w:rsidR="00721AF0" w:rsidRPr="007B2BD8">
        <w:trPr>
          <w:trHeight w:val="480"/>
        </w:trPr>
        <w:tc>
          <w:tcPr>
            <w:tcW w:w="823" w:type="dxa"/>
            <w:vMerge/>
            <w:shd w:val="clear" w:color="auto" w:fill="auto"/>
            <w:textDirection w:val="btLr"/>
            <w:vAlign w:val="center"/>
          </w:tcPr>
          <w:p w:rsidR="00721AF0" w:rsidRPr="007B2BD8" w:rsidRDefault="00721AF0" w:rsidP="00D67B48">
            <w:pPr>
              <w:ind w:left="113" w:right="113"/>
              <w:jc w:val="center"/>
              <w:rPr>
                <w:rFonts w:ascii="Helvetica" w:hAnsi="Helvetica"/>
                <w:b/>
                <w:sz w:val="18"/>
                <w:szCs w:val="20"/>
              </w:rPr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Koldewyn et al. (2010)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2,000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200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2.2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4.5 - 9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4 pixels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30 / 30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no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60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A86A27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yes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constant stimuli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721AF0" w:rsidRPr="007B2BD8" w:rsidRDefault="00A86A27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 xml:space="preserve">15.12 / </w:t>
            </w:r>
            <w:r w:rsidR="00721AF0" w:rsidRPr="007B2BD8">
              <w:rPr>
                <w:rFonts w:ascii="Helvetica" w:hAnsi="Helvetica"/>
                <w:sz w:val="18"/>
                <w:szCs w:val="20"/>
              </w:rPr>
              <w:t>15</w:t>
            </w:r>
            <w:r>
              <w:rPr>
                <w:rFonts w:ascii="Helvetica" w:hAnsi="Helvetica"/>
                <w:sz w:val="18"/>
                <w:szCs w:val="20"/>
              </w:rPr>
              <w:t>.78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721AF0" w:rsidRPr="007B2BD8" w:rsidRDefault="00721AF0" w:rsidP="00D67B48">
            <w:pPr>
              <w:spacing w:before="2" w:after="2"/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NS, when IQ is a co-variate</w:t>
            </w:r>
          </w:p>
        </w:tc>
      </w:tr>
      <w:tr w:rsidR="00721AF0" w:rsidRPr="007B2BD8">
        <w:trPr>
          <w:trHeight w:val="480"/>
        </w:trPr>
        <w:tc>
          <w:tcPr>
            <w:tcW w:w="823" w:type="dxa"/>
            <w:vMerge/>
            <w:shd w:val="clear" w:color="auto" w:fill="auto"/>
            <w:textDirection w:val="btLr"/>
            <w:vAlign w:val="center"/>
          </w:tcPr>
          <w:p w:rsidR="00721AF0" w:rsidRPr="007B2BD8" w:rsidRDefault="00721AF0" w:rsidP="00D67B48">
            <w:pPr>
              <w:ind w:left="113" w:right="113"/>
              <w:jc w:val="center"/>
              <w:rPr>
                <w:rFonts w:ascii="Helvetica" w:hAnsi="Helvetica"/>
                <w:b/>
                <w:sz w:val="18"/>
                <w:szCs w:val="20"/>
              </w:rPr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Atkinson (2009)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200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750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5.85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22.9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0.11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13 / 16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B2BD8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50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yes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constant stimuli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30 / 26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721AF0" w:rsidRPr="007B2BD8" w:rsidRDefault="00721AF0" w:rsidP="00D67B48">
            <w:pPr>
              <w:spacing w:before="2" w:after="2"/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Deficit in ASC</w:t>
            </w:r>
          </w:p>
        </w:tc>
      </w:tr>
      <w:tr w:rsidR="00721AF0" w:rsidRPr="007B2BD8">
        <w:trPr>
          <w:trHeight w:val="1314"/>
        </w:trPr>
        <w:tc>
          <w:tcPr>
            <w:tcW w:w="823" w:type="dxa"/>
            <w:vMerge/>
            <w:shd w:val="clear" w:color="auto" w:fill="auto"/>
            <w:textDirection w:val="btLr"/>
            <w:vAlign w:val="center"/>
          </w:tcPr>
          <w:p w:rsidR="00721AF0" w:rsidRPr="007B2BD8" w:rsidRDefault="00721AF0" w:rsidP="00D67B48">
            <w:pPr>
              <w:ind w:left="113" w:right="113"/>
              <w:jc w:val="center"/>
              <w:rPr>
                <w:rFonts w:ascii="Helvetica" w:hAnsi="Helvetica"/>
                <w:b/>
                <w:sz w:val="18"/>
                <w:szCs w:val="20"/>
              </w:rPr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Takarae et al. (2008)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300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100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2.26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3.3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0.15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41 (ASC 1) / 36 (ASC 2) / 46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DB2878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yes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27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yes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721AF0" w:rsidRPr="007B2BD8" w:rsidRDefault="00721AF0" w:rsidP="0093661F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 xml:space="preserve">staircase 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 w:cs="Times New Roman"/>
                <w:color w:val="000000"/>
                <w:sz w:val="18"/>
                <w:szCs w:val="15"/>
              </w:rPr>
              <w:t>16.3 (ASC1) / 15.25 (ASC2) / 16.5 (Con)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721AF0" w:rsidRPr="007B2BD8" w:rsidRDefault="00721AF0" w:rsidP="00D67B48">
            <w:pPr>
              <w:spacing w:before="2" w:after="2"/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Deficit in ASC group with language delay (trend in combined ASC group)</w:t>
            </w:r>
          </w:p>
        </w:tc>
      </w:tr>
      <w:tr w:rsidR="00721AF0" w:rsidRPr="007B2BD8">
        <w:trPr>
          <w:trHeight w:val="1134"/>
        </w:trPr>
        <w:tc>
          <w:tcPr>
            <w:tcW w:w="823" w:type="dxa"/>
            <w:vMerge/>
            <w:shd w:val="clear" w:color="auto" w:fill="auto"/>
            <w:textDirection w:val="btLr"/>
            <w:vAlign w:val="center"/>
          </w:tcPr>
          <w:p w:rsidR="00721AF0" w:rsidRPr="007B2BD8" w:rsidRDefault="00721AF0" w:rsidP="00D67B48">
            <w:pPr>
              <w:ind w:left="113" w:right="113"/>
              <w:jc w:val="center"/>
              <w:rPr>
                <w:rFonts w:ascii="Helvetica" w:hAnsi="Helvetica"/>
                <w:b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Milne et al. (2006); White et al. (2006)</w:t>
            </w:r>
            <w:r w:rsidRPr="007B2BD8">
              <w:rPr>
                <w:rFonts w:ascii="Helvetica" w:hAnsi="Helvetica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10</w:t>
            </w:r>
            <w:r w:rsidR="00A86A27">
              <w:rPr>
                <w:rFonts w:ascii="Helvetica" w:hAnsi="Helvetica"/>
                <w:sz w:val="18"/>
                <w:szCs w:val="20"/>
              </w:rPr>
              <w:t>10?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2.1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0.1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23 / 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1AF0" w:rsidRPr="007B2BD8" w:rsidRDefault="00721AF0" w:rsidP="0093661F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 xml:space="preserve">staircase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10.1 / 10.25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1AF0" w:rsidRPr="007B2BD8" w:rsidRDefault="00721AF0" w:rsidP="00D67B48">
            <w:pPr>
              <w:spacing w:before="2" w:after="2"/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Deficit in ASC subgroup, not in whole group</w:t>
            </w:r>
          </w:p>
        </w:tc>
      </w:tr>
      <w:tr w:rsidR="00721AF0" w:rsidRPr="007B2BD8">
        <w:trPr>
          <w:trHeight w:val="480"/>
        </w:trPr>
        <w:tc>
          <w:tcPr>
            <w:tcW w:w="823" w:type="dxa"/>
            <w:vMerge/>
            <w:shd w:val="clear" w:color="auto" w:fill="auto"/>
            <w:textDirection w:val="btLr"/>
            <w:vAlign w:val="center"/>
          </w:tcPr>
          <w:p w:rsidR="00721AF0" w:rsidRPr="007B2BD8" w:rsidRDefault="00721AF0" w:rsidP="00D67B48">
            <w:pPr>
              <w:ind w:left="113" w:right="113"/>
              <w:jc w:val="center"/>
              <w:rPr>
                <w:rFonts w:ascii="Helvetica" w:hAnsi="Helvetica"/>
                <w:b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Del Viva et al. (2006)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160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0.4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0.4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10 / 12 (Con 1) / 14 (Con 2)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B2BD8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57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1AF0" w:rsidRPr="007B2BD8" w:rsidRDefault="00721AF0" w:rsidP="0093661F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 xml:space="preserve">staircase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8.8 / 6.6 (Con 1) / 9.7 (Con2)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1AF0" w:rsidRPr="007B2BD8" w:rsidRDefault="00721AF0" w:rsidP="00D67B48">
            <w:pPr>
              <w:spacing w:before="2" w:after="2"/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NS</w:t>
            </w:r>
          </w:p>
        </w:tc>
      </w:tr>
      <w:tr w:rsidR="00721AF0" w:rsidRPr="007B2BD8">
        <w:trPr>
          <w:trHeight w:val="480"/>
        </w:trPr>
        <w:tc>
          <w:tcPr>
            <w:tcW w:w="823" w:type="dxa"/>
            <w:vMerge/>
            <w:shd w:val="clear" w:color="auto" w:fill="auto"/>
            <w:textDirection w:val="btLr"/>
            <w:vAlign w:val="center"/>
          </w:tcPr>
          <w:p w:rsidR="00721AF0" w:rsidRPr="007B2BD8" w:rsidRDefault="00721AF0" w:rsidP="00D67B48">
            <w:pPr>
              <w:ind w:left="113" w:right="113"/>
              <w:jc w:val="center"/>
              <w:rPr>
                <w:rFonts w:ascii="Helvetica" w:hAnsi="Helvetica"/>
                <w:b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Davis et al. (2006)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220, 1000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6.3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9 / 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70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A86A27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1AF0" w:rsidRPr="007B2BD8" w:rsidRDefault="00721AF0" w:rsidP="0093661F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 xml:space="preserve">staircase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12.3 / 11.9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1AF0" w:rsidRPr="007B2BD8" w:rsidRDefault="00721AF0" w:rsidP="00D67B48">
            <w:pPr>
              <w:spacing w:before="2" w:after="2"/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Deficit in ASC at long duration; no interaction with viewing duration</w:t>
            </w:r>
          </w:p>
        </w:tc>
      </w:tr>
      <w:tr w:rsidR="00721AF0" w:rsidRPr="007B2BD8">
        <w:trPr>
          <w:trHeight w:val="480"/>
        </w:trPr>
        <w:tc>
          <w:tcPr>
            <w:tcW w:w="823" w:type="dxa"/>
            <w:vMerge/>
            <w:shd w:val="clear" w:color="auto" w:fill="auto"/>
            <w:textDirection w:val="btLr"/>
            <w:vAlign w:val="center"/>
          </w:tcPr>
          <w:p w:rsidR="00721AF0" w:rsidRPr="007B2BD8" w:rsidRDefault="00721AF0" w:rsidP="00D67B48">
            <w:pPr>
              <w:ind w:left="113" w:right="113"/>
              <w:jc w:val="center"/>
              <w:rPr>
                <w:rFonts w:ascii="Helvetica" w:hAnsi="Helvetica"/>
                <w:b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Pellicano et al. (2005); Pellicano &amp; Gibson (2008)</w:t>
            </w:r>
            <w:r w:rsidRPr="007B2BD8">
              <w:rPr>
                <w:rFonts w:ascii="Helvetica" w:hAnsi="Helvetica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600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0.4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6.3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0.11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20 / 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1AF0" w:rsidRPr="007B2BD8" w:rsidRDefault="00721AF0" w:rsidP="0093661F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 xml:space="preserve">staircase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9.5 / 9.8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1AF0" w:rsidRPr="007B2BD8" w:rsidRDefault="00721AF0" w:rsidP="00D67B48">
            <w:pPr>
              <w:spacing w:before="2" w:after="2"/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Deficit in ASC</w:t>
            </w:r>
          </w:p>
        </w:tc>
      </w:tr>
      <w:tr w:rsidR="00721AF0" w:rsidRPr="007B2BD8">
        <w:trPr>
          <w:trHeight w:val="480"/>
        </w:trPr>
        <w:tc>
          <w:tcPr>
            <w:tcW w:w="823" w:type="dxa"/>
            <w:vMerge/>
            <w:shd w:val="clear" w:color="auto" w:fill="auto"/>
            <w:textDirection w:val="btLr"/>
            <w:vAlign w:val="center"/>
          </w:tcPr>
          <w:p w:rsidR="00721AF0" w:rsidRPr="007B2BD8" w:rsidRDefault="00721AF0" w:rsidP="00D67B48">
            <w:pPr>
              <w:ind w:left="113" w:right="113"/>
              <w:jc w:val="center"/>
              <w:rPr>
                <w:rFonts w:ascii="Helvetica" w:hAnsi="Helvetica"/>
                <w:b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Milne et al. (2002)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A86A27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1010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0.3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8.8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1 pixel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25 / 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DB2878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1AF0" w:rsidRPr="007B2BD8" w:rsidRDefault="00721AF0" w:rsidP="0093661F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 xml:space="preserve">staircase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11.7 / 11.6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1AF0" w:rsidRPr="007B2BD8" w:rsidRDefault="00721AF0" w:rsidP="00D67B48">
            <w:pPr>
              <w:spacing w:before="2" w:after="2"/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Deficit in ASC</w:t>
            </w:r>
          </w:p>
        </w:tc>
      </w:tr>
    </w:tbl>
    <w:p w:rsidR="00721AF0" w:rsidRPr="007B2BD8" w:rsidRDefault="00721AF0" w:rsidP="00D67B48">
      <w:pPr>
        <w:jc w:val="center"/>
        <w:rPr>
          <w:rFonts w:ascii="Helvetica" w:hAnsi="Helvetica"/>
          <w:sz w:val="18"/>
        </w:rPr>
      </w:pPr>
    </w:p>
    <w:p w:rsidR="00721AF0" w:rsidRPr="007B2BD8" w:rsidRDefault="00721AF0" w:rsidP="00D67B48">
      <w:pPr>
        <w:jc w:val="center"/>
        <w:rPr>
          <w:rFonts w:ascii="Helvetica" w:hAnsi="Helvetica"/>
          <w:sz w:val="18"/>
        </w:rPr>
      </w:pPr>
    </w:p>
    <w:p w:rsidR="00721AF0" w:rsidRPr="007B2BD8" w:rsidRDefault="00721AF0" w:rsidP="00D67B48">
      <w:pPr>
        <w:jc w:val="center"/>
        <w:rPr>
          <w:rFonts w:ascii="Helvetica" w:hAnsi="Helvetica"/>
          <w:sz w:val="18"/>
        </w:rPr>
      </w:pPr>
    </w:p>
    <w:p w:rsidR="00721AF0" w:rsidRPr="007B2BD8" w:rsidRDefault="00A86A27" w:rsidP="00D67B4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  <w:r w:rsidR="00721AF0" w:rsidRPr="007B2BD8">
        <w:rPr>
          <w:rFonts w:ascii="Helvetica" w:hAnsi="Helvetica"/>
          <w:b/>
        </w:rPr>
        <w:t>Other tasks requiring coherent motion perception</w:t>
      </w:r>
    </w:p>
    <w:tbl>
      <w:tblPr>
        <w:tblW w:w="142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1260"/>
        <w:gridCol w:w="990"/>
        <w:gridCol w:w="990"/>
        <w:gridCol w:w="900"/>
        <w:gridCol w:w="900"/>
        <w:gridCol w:w="990"/>
        <w:gridCol w:w="900"/>
        <w:gridCol w:w="990"/>
        <w:gridCol w:w="990"/>
        <w:gridCol w:w="990"/>
        <w:gridCol w:w="1170"/>
        <w:gridCol w:w="900"/>
        <w:gridCol w:w="1440"/>
      </w:tblGrid>
      <w:tr w:rsidR="00721AF0" w:rsidRPr="007B2BD8">
        <w:trPr>
          <w:cantSplit/>
          <w:trHeight w:val="558"/>
        </w:trPr>
        <w:tc>
          <w:tcPr>
            <w:tcW w:w="2083" w:type="dxa"/>
            <w:gridSpan w:val="2"/>
            <w:shd w:val="clear" w:color="auto" w:fill="auto"/>
            <w:textDirection w:val="btLr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Stimulus Duration (ms)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Dot Number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Density</w:t>
            </w:r>
          </w:p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(Dots / deg</w:t>
            </w:r>
            <w:r w:rsidRPr="007B2BD8">
              <w:rPr>
                <w:rFonts w:ascii="Helvetica" w:hAnsi="Helvetica"/>
                <w:b/>
                <w:bCs/>
                <w:sz w:val="18"/>
                <w:szCs w:val="20"/>
                <w:vertAlign w:val="superscript"/>
              </w:rPr>
              <w:t>2</w:t>
            </w: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Speed</w:t>
            </w:r>
          </w:p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(Deg/s)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Dot Size</w:t>
            </w:r>
          </w:p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(Visual degrees)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ind w:right="-34"/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Sample Size</w:t>
            </w:r>
          </w:p>
          <w:p w:rsidR="00721AF0" w:rsidRPr="007B2BD8" w:rsidRDefault="00721AF0" w:rsidP="00D67B48">
            <w:pPr>
              <w:ind w:right="-34"/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(ASC:</w:t>
            </w:r>
          </w:p>
          <w:p w:rsidR="00721AF0" w:rsidRPr="007B2BD8" w:rsidRDefault="00721AF0" w:rsidP="00D67B48">
            <w:pPr>
              <w:ind w:right="-34"/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Con)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Fixation Point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Screen</w:t>
            </w:r>
          </w:p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Distance (cm)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Matched Groups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Method of Threshold Estimation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Mean Age in Years</w:t>
            </w:r>
          </w:p>
          <w:p w:rsidR="00721AF0" w:rsidRPr="007B2BD8" w:rsidRDefault="00721AF0" w:rsidP="00D67B48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(ASC: Con)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1AF0" w:rsidRPr="007B2BD8" w:rsidRDefault="00721AF0" w:rsidP="00D67B48">
            <w:pPr>
              <w:spacing w:before="2" w:after="2"/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bCs/>
                <w:sz w:val="18"/>
                <w:szCs w:val="20"/>
              </w:rPr>
              <w:t>Results</w:t>
            </w:r>
          </w:p>
        </w:tc>
      </w:tr>
      <w:tr w:rsidR="00721AF0" w:rsidRPr="007B2BD8">
        <w:trPr>
          <w:cantSplit/>
          <w:trHeight w:val="558"/>
        </w:trPr>
        <w:tc>
          <w:tcPr>
            <w:tcW w:w="823" w:type="dxa"/>
            <w:vMerge w:val="restart"/>
            <w:shd w:val="clear" w:color="auto" w:fill="auto"/>
            <w:textDirection w:val="btLr"/>
            <w:vAlign w:val="center"/>
          </w:tcPr>
          <w:p w:rsidR="00721AF0" w:rsidRPr="007B2BD8" w:rsidRDefault="00721AF0" w:rsidP="00D67B48">
            <w:pPr>
              <w:ind w:left="113" w:right="113"/>
              <w:jc w:val="center"/>
              <w:rPr>
                <w:rFonts w:ascii="Helvetica" w:hAnsi="Helvetica"/>
                <w:b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sz w:val="18"/>
                <w:szCs w:val="20"/>
              </w:rPr>
              <w:t>Direction discrimination in an "odd one out" paradigm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de Jonge et al. (2007)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no limit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29 / 32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staircase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16.6 / 17.6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1AF0" w:rsidRPr="007B2BD8" w:rsidRDefault="00721AF0" w:rsidP="00D67B48">
            <w:pPr>
              <w:spacing w:before="2" w:after="2"/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NS</w:t>
            </w:r>
          </w:p>
        </w:tc>
      </w:tr>
      <w:tr w:rsidR="00721AF0" w:rsidRPr="007B2BD8">
        <w:trPr>
          <w:cantSplit/>
          <w:trHeight w:val="1134"/>
        </w:trPr>
        <w:tc>
          <w:tcPr>
            <w:tcW w:w="823" w:type="dxa"/>
            <w:vMerge/>
            <w:shd w:val="clear" w:color="auto" w:fill="auto"/>
            <w:textDirection w:val="btLr"/>
            <w:vAlign w:val="center"/>
          </w:tcPr>
          <w:p w:rsidR="00721AF0" w:rsidRPr="007B2BD8" w:rsidRDefault="00721AF0" w:rsidP="00D67B48">
            <w:pPr>
              <w:ind w:left="113" w:right="113"/>
              <w:jc w:val="center"/>
              <w:rPr>
                <w:rFonts w:ascii="Helvetica" w:hAnsi="Helvetica"/>
                <w:b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Spencer et al., (2000)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motion direction reverse</w:t>
            </w:r>
            <w:r w:rsidR="0093661F">
              <w:rPr>
                <w:rFonts w:ascii="Helvetica" w:hAnsi="Helvetica"/>
                <w:sz w:val="18"/>
                <w:szCs w:val="20"/>
              </w:rPr>
              <w:t>s</w:t>
            </w:r>
            <w:r w:rsidRPr="007B2BD8">
              <w:rPr>
                <w:rFonts w:ascii="Helvetica" w:hAnsi="Helvetica"/>
                <w:sz w:val="18"/>
                <w:szCs w:val="20"/>
              </w:rPr>
              <w:t xml:space="preserve"> every 330 ms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?`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5.8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23 / 50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B2BD8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staircase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7-11 / 7-11</w:t>
            </w:r>
          </w:p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(means not provided)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1AF0" w:rsidRPr="007B2BD8" w:rsidRDefault="00721AF0" w:rsidP="00D67B48">
            <w:pPr>
              <w:spacing w:before="2" w:after="2"/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Deficit in ASC</w:t>
            </w:r>
          </w:p>
        </w:tc>
      </w:tr>
      <w:tr w:rsidR="00721AF0" w:rsidRPr="007B2BD8">
        <w:trPr>
          <w:cantSplit/>
          <w:trHeight w:val="1350"/>
        </w:trPr>
        <w:tc>
          <w:tcPr>
            <w:tcW w:w="823" w:type="dxa"/>
            <w:vMerge w:val="restart"/>
            <w:shd w:val="clear" w:color="auto" w:fill="auto"/>
            <w:textDirection w:val="btLr"/>
            <w:vAlign w:val="center"/>
          </w:tcPr>
          <w:p w:rsidR="00721AF0" w:rsidRPr="007B2BD8" w:rsidRDefault="00721AF0" w:rsidP="00D67B48">
            <w:pPr>
              <w:ind w:left="113" w:right="113"/>
              <w:jc w:val="center"/>
              <w:rPr>
                <w:rFonts w:ascii="Helvetica" w:hAnsi="Helvetica"/>
                <w:b/>
                <w:sz w:val="18"/>
                <w:szCs w:val="20"/>
              </w:rPr>
            </w:pPr>
            <w:r w:rsidRPr="007B2BD8">
              <w:rPr>
                <w:rFonts w:ascii="Helvetica" w:hAnsi="Helvetica"/>
                <w:b/>
                <w:sz w:val="18"/>
                <w:szCs w:val="20"/>
              </w:rPr>
              <w:t>Detection of a patch of coherent, rotational motion in a noisy motion display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Tsermentseli et al., (2008)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250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 w:cs="Helvetica"/>
                <w:color w:val="000000"/>
                <w:sz w:val="18"/>
                <w:szCs w:val="19"/>
              </w:rPr>
              <w:t>5.8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21 / 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B2BD8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staircase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28.3 (ASC1) / 23.3 (ASC2) / 28.4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1AF0" w:rsidRPr="007B2BD8" w:rsidRDefault="00721AF0" w:rsidP="00D67B48">
            <w:pPr>
              <w:spacing w:before="2" w:after="2"/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Deficit in ASC</w:t>
            </w:r>
          </w:p>
        </w:tc>
      </w:tr>
      <w:tr w:rsidR="00721AF0" w:rsidRPr="007B2BD8">
        <w:trPr>
          <w:cantSplit/>
          <w:trHeight w:val="1269"/>
        </w:trPr>
        <w:tc>
          <w:tcPr>
            <w:tcW w:w="823" w:type="dxa"/>
            <w:vMerge/>
            <w:shd w:val="clear" w:color="auto" w:fill="auto"/>
            <w:textDirection w:val="btLr"/>
            <w:vAlign w:val="center"/>
          </w:tcPr>
          <w:p w:rsidR="00721AF0" w:rsidRPr="007B2BD8" w:rsidRDefault="00721AF0" w:rsidP="00D67B48">
            <w:pPr>
              <w:ind w:left="113" w:right="113"/>
              <w:jc w:val="center"/>
              <w:rPr>
                <w:rFonts w:ascii="Helvetica" w:hAnsi="Helvetica"/>
                <w:b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Spencer et al., (2006)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250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 w:cs="Helvetica"/>
                <w:color w:val="000000"/>
                <w:sz w:val="18"/>
                <w:szCs w:val="19"/>
              </w:rPr>
            </w:pPr>
            <w:r w:rsidRPr="007B2BD8">
              <w:rPr>
                <w:rFonts w:ascii="Helvetica" w:hAnsi="Helvetica" w:cs="Helvetica"/>
                <w:color w:val="000000"/>
                <w:sz w:val="18"/>
                <w:szCs w:val="19"/>
              </w:rPr>
              <w:t>5.8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25 / 15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B2BD8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staircase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1AF0" w:rsidRPr="007B2BD8" w:rsidRDefault="00721AF0" w:rsidP="00D67B4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 w:cs="Helvetica"/>
                <w:color w:val="000000"/>
                <w:sz w:val="18"/>
                <w:szCs w:val="19"/>
              </w:rPr>
              <w:t>13.5</w:t>
            </w:r>
            <w:r w:rsidRPr="007B2BD8">
              <w:rPr>
                <w:rFonts w:ascii="Helvetica" w:hAnsi="Helvetica"/>
                <w:sz w:val="18"/>
                <w:szCs w:val="20"/>
              </w:rPr>
              <w:t xml:space="preserve"> / (ASC1)  12 (ASC2) /  11.7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1AF0" w:rsidRPr="007B2BD8" w:rsidRDefault="00721AF0" w:rsidP="00D67B48">
            <w:pPr>
              <w:spacing w:before="2" w:after="2"/>
              <w:jc w:val="center"/>
              <w:rPr>
                <w:rFonts w:ascii="Helvetica" w:hAnsi="Helvetica"/>
                <w:sz w:val="18"/>
                <w:szCs w:val="20"/>
              </w:rPr>
            </w:pPr>
            <w:r w:rsidRPr="007B2BD8">
              <w:rPr>
                <w:rFonts w:ascii="Helvetica" w:hAnsi="Helvetica"/>
                <w:sz w:val="18"/>
                <w:szCs w:val="20"/>
              </w:rPr>
              <w:t>Deficit in ASC</w:t>
            </w:r>
          </w:p>
        </w:tc>
      </w:tr>
    </w:tbl>
    <w:p w:rsidR="00721AF0" w:rsidRPr="007B2BD8" w:rsidRDefault="00721AF0" w:rsidP="00721AF0">
      <w:pPr>
        <w:jc w:val="center"/>
        <w:rPr>
          <w:rFonts w:ascii="Helvetica" w:hAnsi="Helvetica"/>
        </w:rPr>
      </w:pPr>
      <w:r w:rsidRPr="007B2BD8">
        <w:rPr>
          <w:rFonts w:ascii="Helvetica" w:hAnsi="Helvetica"/>
        </w:rPr>
        <w:t>a. The data presented in Pellicano et al. (2008) are the same as in Pellicano et al. (2005)</w:t>
      </w:r>
    </w:p>
    <w:p w:rsidR="00721AF0" w:rsidRPr="007B2BD8" w:rsidRDefault="00721AF0" w:rsidP="00721AF0">
      <w:pPr>
        <w:jc w:val="center"/>
        <w:rPr>
          <w:rFonts w:ascii="Helvetica" w:hAnsi="Helvetica"/>
        </w:rPr>
      </w:pPr>
      <w:r w:rsidRPr="007B2BD8">
        <w:rPr>
          <w:rFonts w:ascii="Helvetica" w:hAnsi="Helvetica"/>
        </w:rPr>
        <w:t xml:space="preserve">b. Likewise White et al. (2006) present data previously reported in Milne et al. (2006) </w:t>
      </w:r>
    </w:p>
    <w:p w:rsidR="00721AF0" w:rsidRPr="007B2BD8" w:rsidRDefault="00721AF0" w:rsidP="00721AF0">
      <w:pPr>
        <w:jc w:val="center"/>
        <w:rPr>
          <w:rFonts w:ascii="Helvetica" w:hAnsi="Helvetica"/>
        </w:rPr>
      </w:pPr>
      <w:r w:rsidRPr="007B2BD8">
        <w:rPr>
          <w:rFonts w:ascii="Helvetica" w:hAnsi="Helvetica"/>
        </w:rPr>
        <w:t>Question marks indicate unreported or unclear stimulus parameters.</w:t>
      </w:r>
    </w:p>
    <w:p w:rsidR="00721AF0" w:rsidRPr="007B2BD8" w:rsidRDefault="00721AF0" w:rsidP="00721AF0">
      <w:pPr>
        <w:jc w:val="center"/>
        <w:rPr>
          <w:rFonts w:ascii="Helvetica" w:hAnsi="Helvetica"/>
          <w:sz w:val="18"/>
        </w:rPr>
      </w:pPr>
    </w:p>
    <w:p w:rsidR="00D8378B" w:rsidRDefault="00D8378B" w:rsidP="00721AF0">
      <w:pPr>
        <w:jc w:val="center"/>
        <w:rPr>
          <w:rFonts w:ascii="Helvetica" w:hAnsi="Helvetica"/>
          <w:sz w:val="18"/>
        </w:rPr>
      </w:pPr>
    </w:p>
    <w:p w:rsidR="00721AF0" w:rsidRPr="007B2BD8" w:rsidRDefault="00721AF0" w:rsidP="00721AF0">
      <w:pPr>
        <w:jc w:val="center"/>
        <w:rPr>
          <w:rFonts w:ascii="Helvetica" w:hAnsi="Helvetica"/>
          <w:sz w:val="18"/>
        </w:rPr>
      </w:pPr>
    </w:p>
    <w:p w:rsidR="00721AF0" w:rsidRPr="007B2BD8" w:rsidRDefault="00721AF0" w:rsidP="00721AF0">
      <w:pPr>
        <w:jc w:val="center"/>
        <w:rPr>
          <w:rFonts w:ascii="Helvetica" w:hAnsi="Helvetica"/>
          <w:sz w:val="18"/>
        </w:rPr>
      </w:pPr>
    </w:p>
    <w:p w:rsidR="00D340F4" w:rsidRPr="007B2BD8" w:rsidRDefault="00721AF0" w:rsidP="00D67B48">
      <w:pPr>
        <w:rPr>
          <w:rFonts w:ascii="Helvetica" w:hAnsi="Helvetica"/>
        </w:rPr>
      </w:pPr>
      <w:r w:rsidRPr="007B2BD8">
        <w:rPr>
          <w:rFonts w:ascii="Helvetica" w:hAnsi="Helvetica"/>
          <w:b/>
        </w:rPr>
        <w:t xml:space="preserve">Table </w:t>
      </w:r>
      <w:r w:rsidR="00356BE4">
        <w:rPr>
          <w:rFonts w:ascii="Helvetica" w:hAnsi="Helvetica"/>
          <w:b/>
        </w:rPr>
        <w:t>S</w:t>
      </w:r>
      <w:r w:rsidRPr="007B2BD8">
        <w:rPr>
          <w:rFonts w:ascii="Helvetica" w:hAnsi="Helvetica"/>
          <w:b/>
        </w:rPr>
        <w:t xml:space="preserve">1. Previous psychophysical </w:t>
      </w:r>
      <w:r w:rsidR="00D8378B">
        <w:rPr>
          <w:rFonts w:ascii="Helvetica" w:hAnsi="Helvetica"/>
          <w:b/>
        </w:rPr>
        <w:t>studies</w:t>
      </w:r>
      <w:r w:rsidRPr="007B2BD8">
        <w:rPr>
          <w:rFonts w:ascii="Helvetica" w:hAnsi="Helvetica"/>
          <w:b/>
        </w:rPr>
        <w:t xml:space="preserve"> </w:t>
      </w:r>
      <w:r w:rsidR="00D8378B">
        <w:rPr>
          <w:rFonts w:ascii="Helvetica" w:hAnsi="Helvetica"/>
          <w:b/>
        </w:rPr>
        <w:t>on</w:t>
      </w:r>
      <w:r w:rsidRPr="007B2BD8">
        <w:rPr>
          <w:rFonts w:ascii="Helvetica" w:hAnsi="Helvetica"/>
          <w:b/>
        </w:rPr>
        <w:t xml:space="preserve"> coherent motion perception in ASC</w:t>
      </w:r>
      <w:r w:rsidRPr="007B2BD8">
        <w:rPr>
          <w:rFonts w:ascii="Helvetica" w:hAnsi="Helvetica"/>
        </w:rPr>
        <w:t xml:space="preserve">.  To facilitate comparison across studies, the table is sub-divided into studies using comparable paradigms. Top: studies using 2AFC direction-discrimination paradigms. Highlighted windows indicate studies </w:t>
      </w:r>
      <w:r w:rsidR="00A86A27">
        <w:rPr>
          <w:rFonts w:ascii="Helvetica" w:hAnsi="Helvetica"/>
        </w:rPr>
        <w:t>in which the age range</w:t>
      </w:r>
      <w:r w:rsidR="00F2400A">
        <w:rPr>
          <w:rFonts w:ascii="Helvetica" w:hAnsi="Helvetica"/>
        </w:rPr>
        <w:t xml:space="preserve"> did not include participants below</w:t>
      </w:r>
      <w:r w:rsidRPr="007B2BD8">
        <w:rPr>
          <w:rFonts w:ascii="Helvetica" w:hAnsi="Helvetica"/>
        </w:rPr>
        <w:t xml:space="preserve"> the age at which coherent motion perception is thought to have matured to adult levels (10-11 years).  Bottom: studies using other paradigms that require coherent motion perception, such as detecting a patch of rotational motion in noise. </w:t>
      </w:r>
    </w:p>
    <w:sectPr w:rsidR="00D340F4" w:rsidRPr="007B2BD8" w:rsidSect="00187CC1">
      <w:pgSz w:w="15840" w:h="12240" w:orient="landscape"/>
      <w:pgMar w:top="1152" w:right="806" w:bottom="1152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40F4"/>
    <w:rsid w:val="000503B8"/>
    <w:rsid w:val="00085C3F"/>
    <w:rsid w:val="000B667C"/>
    <w:rsid w:val="00187CC1"/>
    <w:rsid w:val="00203001"/>
    <w:rsid w:val="002A155E"/>
    <w:rsid w:val="00356BE4"/>
    <w:rsid w:val="00360FCE"/>
    <w:rsid w:val="003750BC"/>
    <w:rsid w:val="003B19C7"/>
    <w:rsid w:val="003C3E66"/>
    <w:rsid w:val="003F0413"/>
    <w:rsid w:val="003F5BEF"/>
    <w:rsid w:val="00484600"/>
    <w:rsid w:val="004C0F2D"/>
    <w:rsid w:val="004C63B2"/>
    <w:rsid w:val="004E6C15"/>
    <w:rsid w:val="00591DA9"/>
    <w:rsid w:val="00603B96"/>
    <w:rsid w:val="006134EB"/>
    <w:rsid w:val="00684752"/>
    <w:rsid w:val="006C1680"/>
    <w:rsid w:val="006E1884"/>
    <w:rsid w:val="006E2E00"/>
    <w:rsid w:val="006F26DC"/>
    <w:rsid w:val="00716940"/>
    <w:rsid w:val="00721AF0"/>
    <w:rsid w:val="0072721F"/>
    <w:rsid w:val="007563C6"/>
    <w:rsid w:val="00796D70"/>
    <w:rsid w:val="007B2BD8"/>
    <w:rsid w:val="007C716D"/>
    <w:rsid w:val="00861FDA"/>
    <w:rsid w:val="008B0DEF"/>
    <w:rsid w:val="008B3D5A"/>
    <w:rsid w:val="008B79B6"/>
    <w:rsid w:val="00925C9B"/>
    <w:rsid w:val="0093661F"/>
    <w:rsid w:val="00940531"/>
    <w:rsid w:val="0096291F"/>
    <w:rsid w:val="009644A7"/>
    <w:rsid w:val="00982F56"/>
    <w:rsid w:val="00A86A27"/>
    <w:rsid w:val="00B06AA8"/>
    <w:rsid w:val="00B5661B"/>
    <w:rsid w:val="00B63113"/>
    <w:rsid w:val="00C20A28"/>
    <w:rsid w:val="00C32C41"/>
    <w:rsid w:val="00C44F21"/>
    <w:rsid w:val="00D340F4"/>
    <w:rsid w:val="00D67B48"/>
    <w:rsid w:val="00D8378B"/>
    <w:rsid w:val="00DB2878"/>
    <w:rsid w:val="00DC7CA6"/>
    <w:rsid w:val="00DF47A1"/>
    <w:rsid w:val="00EC2033"/>
    <w:rsid w:val="00F1617E"/>
    <w:rsid w:val="00F2400A"/>
    <w:rsid w:val="00FD3A14"/>
    <w:rsid w:val="00FD7BAD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70F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D340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340F4"/>
    <w:rPr>
      <w:color w:val="993366"/>
      <w:u w:val="single"/>
    </w:rPr>
  </w:style>
  <w:style w:type="paragraph" w:customStyle="1" w:styleId="xl24">
    <w:name w:val="xl24"/>
    <w:basedOn w:val="Normal"/>
    <w:rsid w:val="00D340F4"/>
    <w:pPr>
      <w:spacing w:beforeLines="1" w:afterLines="1"/>
      <w:textAlignment w:val="bottom"/>
    </w:pPr>
    <w:rPr>
      <w:rFonts w:ascii="Times" w:hAnsi="Times"/>
      <w:b/>
      <w:bCs/>
      <w:sz w:val="20"/>
      <w:szCs w:val="20"/>
    </w:rPr>
  </w:style>
  <w:style w:type="paragraph" w:customStyle="1" w:styleId="xl25">
    <w:name w:val="xl25"/>
    <w:basedOn w:val="Normal"/>
    <w:rsid w:val="00D340F4"/>
    <w:pPr>
      <w:spacing w:beforeLines="1" w:afterLines="1"/>
      <w:textAlignment w:val="bottom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D340F4"/>
    <w:pPr>
      <w:shd w:val="clear" w:color="auto" w:fill="E06666"/>
      <w:spacing w:beforeLines="1" w:afterLines="1"/>
      <w:textAlignment w:val="bottom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D340F4"/>
    <w:pPr>
      <w:shd w:val="clear" w:color="auto" w:fill="FFD966"/>
      <w:spacing w:beforeLines="1" w:afterLines="1"/>
      <w:textAlignment w:val="bottom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rsid w:val="006F26DC"/>
    <w:rPr>
      <w:sz w:val="18"/>
      <w:szCs w:val="18"/>
    </w:rPr>
  </w:style>
  <w:style w:type="paragraph" w:styleId="CommentText">
    <w:name w:val="annotation text"/>
    <w:basedOn w:val="Normal"/>
    <w:link w:val="CommentTextChar"/>
    <w:rsid w:val="006F26DC"/>
  </w:style>
  <w:style w:type="character" w:customStyle="1" w:styleId="CommentTextChar">
    <w:name w:val="Comment Text Char"/>
    <w:basedOn w:val="DefaultParagraphFont"/>
    <w:link w:val="CommentText"/>
    <w:rsid w:val="006F26DC"/>
  </w:style>
  <w:style w:type="paragraph" w:styleId="CommentSubject">
    <w:name w:val="annotation subject"/>
    <w:basedOn w:val="CommentText"/>
    <w:next w:val="CommentText"/>
    <w:link w:val="CommentSubjectChar"/>
    <w:rsid w:val="006F26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F26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F26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26D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B59D-A7DB-FC48-A528-BEF5228B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2610</Characters>
  <Application>Microsoft Macintosh Word</Application>
  <DocSecurity>0</DocSecurity>
  <Lines>365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DHHS/NIH/NIMH/DIRP/LBC</Company>
  <LinksUpToDate>false</LinksUpToDate>
  <CharactersWithSpaces>3004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Robertson</dc:creator>
  <cp:keywords/>
  <dc:description/>
  <cp:lastModifiedBy>Caroline Robertson</cp:lastModifiedBy>
  <cp:revision>2</cp:revision>
  <cp:lastPrinted>2012-08-11T15:49:00Z</cp:lastPrinted>
  <dcterms:created xsi:type="dcterms:W3CDTF">2012-10-22T21:42:00Z</dcterms:created>
  <dcterms:modified xsi:type="dcterms:W3CDTF">2012-10-22T21:42:00Z</dcterms:modified>
  <cp:category/>
</cp:coreProperties>
</file>