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7F" w:rsidRDefault="0025037F" w:rsidP="0025037F">
      <w:pPr>
        <w:rPr>
          <w:b/>
        </w:rPr>
      </w:pPr>
      <w:r>
        <w:rPr>
          <w:b/>
        </w:rPr>
        <w:t>SUPPORTING INFORMATION LEGENDS:</w:t>
      </w:r>
    </w:p>
    <w:p w:rsidR="0025037F" w:rsidRPr="00635919" w:rsidRDefault="0025037F" w:rsidP="0025037F">
      <w:r>
        <w:rPr>
          <w:b/>
        </w:rPr>
        <w:t xml:space="preserve"> </w:t>
      </w:r>
    </w:p>
    <w:p w:rsidR="0025037F" w:rsidRPr="00635919" w:rsidRDefault="0025037F" w:rsidP="0025037F">
      <w:pPr>
        <w:rPr>
          <w:b/>
        </w:rPr>
      </w:pPr>
      <w:r w:rsidRPr="00635919">
        <w:rPr>
          <w:b/>
        </w:rPr>
        <w:t xml:space="preserve">Supplemental Results Table </w:t>
      </w:r>
      <w:proofErr w:type="spellStart"/>
      <w:r w:rsidRPr="00635919">
        <w:rPr>
          <w:b/>
        </w:rPr>
        <w:t>S1a</w:t>
      </w:r>
      <w:proofErr w:type="spellEnd"/>
      <w:r w:rsidRPr="00635919">
        <w:rPr>
          <w:b/>
        </w:rPr>
        <w:t>.</w:t>
      </w:r>
      <w:r>
        <w:rPr>
          <w:b/>
        </w:rPr>
        <w:t xml:space="preserve">  Principal components Analysis.  </w:t>
      </w:r>
      <w:r w:rsidRPr="0025037F">
        <w:t xml:space="preserve"> Rotated Factor Pattern for all variables initially included in the </w:t>
      </w:r>
      <w:proofErr w:type="spellStart"/>
      <w:r w:rsidRPr="0025037F">
        <w:t>PCA</w:t>
      </w:r>
      <w:proofErr w:type="spellEnd"/>
      <w:r w:rsidRPr="0025037F">
        <w:t xml:space="preserve">,  using </w:t>
      </w:r>
      <w:proofErr w:type="spellStart"/>
      <w:r w:rsidRPr="0025037F">
        <w:t>Varimax</w:t>
      </w:r>
      <w:proofErr w:type="spellEnd"/>
      <w:r w:rsidRPr="0025037F">
        <w:t xml:space="preserve"> Rotation Method.  </w:t>
      </w:r>
    </w:p>
    <w:p w:rsidR="0025037F" w:rsidRDefault="0025037F" w:rsidP="0025037F"/>
    <w:p w:rsidR="0025037F" w:rsidRPr="0025037F" w:rsidRDefault="0025037F" w:rsidP="0025037F">
      <w:pPr>
        <w:rPr>
          <w:color w:val="000000"/>
        </w:rPr>
      </w:pPr>
      <w:r w:rsidRPr="00635919">
        <w:rPr>
          <w:b/>
          <w:color w:val="000000"/>
        </w:rPr>
        <w:t xml:space="preserve">Supplemental Results Table </w:t>
      </w:r>
      <w:proofErr w:type="spellStart"/>
      <w:r w:rsidRPr="00635919">
        <w:rPr>
          <w:b/>
          <w:color w:val="000000"/>
        </w:rPr>
        <w:t>S1b</w:t>
      </w:r>
      <w:proofErr w:type="spellEnd"/>
      <w:r w:rsidRPr="00635919">
        <w:rPr>
          <w:b/>
          <w:color w:val="000000"/>
        </w:rPr>
        <w:t xml:space="preserve">.  Principal Components Analysis.  </w:t>
      </w:r>
      <w:r w:rsidRPr="0025037F">
        <w:rPr>
          <w:color w:val="000000"/>
        </w:rPr>
        <w:t xml:space="preserve">Percent of variance explained by </w:t>
      </w:r>
      <w:r>
        <w:rPr>
          <w:color w:val="000000"/>
        </w:rPr>
        <w:t xml:space="preserve">6 </w:t>
      </w:r>
      <w:r w:rsidRPr="0025037F">
        <w:rPr>
          <w:color w:val="000000"/>
        </w:rPr>
        <w:t>Principal Component</w:t>
      </w:r>
      <w:r>
        <w:rPr>
          <w:color w:val="000000"/>
        </w:rPr>
        <w:t>s</w:t>
      </w:r>
      <w:r w:rsidRPr="0025037F">
        <w:rPr>
          <w:color w:val="000000"/>
        </w:rPr>
        <w:t xml:space="preserve">. </w:t>
      </w:r>
    </w:p>
    <w:p w:rsidR="0025037F" w:rsidRPr="00635919" w:rsidRDefault="0025037F" w:rsidP="0025037F">
      <w:pPr>
        <w:rPr>
          <w:b/>
          <w:color w:val="000000"/>
        </w:rPr>
      </w:pPr>
    </w:p>
    <w:p w:rsidR="0025037F" w:rsidRPr="0025037F" w:rsidRDefault="0025037F" w:rsidP="0025037F">
      <w:pPr>
        <w:adjustRightInd w:val="0"/>
        <w:rPr>
          <w:color w:val="000000"/>
        </w:rPr>
      </w:pPr>
      <w:r w:rsidRPr="00635919">
        <w:rPr>
          <w:b/>
          <w:color w:val="000000"/>
        </w:rPr>
        <w:t xml:space="preserve">Supplemental Results Table </w:t>
      </w:r>
      <w:proofErr w:type="spellStart"/>
      <w:r w:rsidRPr="00635919">
        <w:rPr>
          <w:b/>
          <w:color w:val="000000"/>
        </w:rPr>
        <w:t>S1c</w:t>
      </w:r>
      <w:proofErr w:type="spellEnd"/>
      <w:r w:rsidRPr="00635919">
        <w:rPr>
          <w:b/>
          <w:color w:val="000000"/>
        </w:rPr>
        <w:t xml:space="preserve">.  Principal Components Analysis.  </w:t>
      </w:r>
      <w:r w:rsidRPr="0025037F">
        <w:rPr>
          <w:color w:val="000000"/>
        </w:rPr>
        <w:t>Final Communality Estimates (</w:t>
      </w:r>
      <w:r w:rsidRPr="0025037F">
        <w:rPr>
          <w:bCs/>
          <w:color w:val="000000"/>
        </w:rPr>
        <w:t>Total = 11.188779).</w:t>
      </w:r>
    </w:p>
    <w:p w:rsidR="0025037F" w:rsidRDefault="0025037F">
      <w:pPr>
        <w:autoSpaceDE/>
        <w:autoSpaceDN/>
      </w:pPr>
    </w:p>
    <w:p w:rsidR="0025037F" w:rsidRDefault="0025037F">
      <w:pPr>
        <w:autoSpaceDE/>
        <w:autoSpaceDN/>
      </w:pPr>
    </w:p>
    <w:p w:rsidR="009245EC" w:rsidRDefault="009245EC">
      <w:pPr>
        <w:autoSpaceDE/>
        <w:autoSpaceDN/>
      </w:pPr>
      <w:r>
        <w:br w:type="page"/>
      </w:r>
    </w:p>
    <w:p w:rsidR="001D5B70" w:rsidRDefault="001D5B70" w:rsidP="001D5B70">
      <w:r>
        <w:lastRenderedPageBreak/>
        <w:t xml:space="preserve">Table </w:t>
      </w:r>
      <w:proofErr w:type="spellStart"/>
      <w:r w:rsidR="002B0FE1">
        <w:t>S</w:t>
      </w:r>
      <w:r>
        <w:t>1a</w:t>
      </w:r>
      <w:proofErr w:type="spellEnd"/>
      <w:r>
        <w:t xml:space="preserve">.  Principal components Analysis- Rotated Factor Pattern, using </w:t>
      </w:r>
      <w:proofErr w:type="spellStart"/>
      <w:r>
        <w:t>Varimax</w:t>
      </w:r>
      <w:proofErr w:type="spellEnd"/>
      <w:r>
        <w:t xml:space="preserve"> Rotation Method</w:t>
      </w:r>
    </w:p>
    <w:p w:rsidR="001D5B70" w:rsidRDefault="001D5B70"/>
    <w:tbl>
      <w:tblPr>
        <w:tblpPr w:leftFromText="180" w:rightFromText="180" w:vertAnchor="page" w:horzAnchor="margin" w:tblpXSpec="center" w:tblpY="1911"/>
        <w:tblW w:w="10419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14"/>
        <w:gridCol w:w="1134"/>
        <w:gridCol w:w="283"/>
        <w:gridCol w:w="1134"/>
        <w:gridCol w:w="284"/>
        <w:gridCol w:w="1134"/>
        <w:gridCol w:w="283"/>
        <w:gridCol w:w="1134"/>
        <w:gridCol w:w="284"/>
        <w:gridCol w:w="1134"/>
        <w:gridCol w:w="283"/>
        <w:gridCol w:w="1081"/>
        <w:gridCol w:w="337"/>
      </w:tblGrid>
      <w:tr w:rsidR="00012257" w:rsidTr="001D5B70">
        <w:trPr>
          <w:cantSplit/>
          <w:tblHeader/>
        </w:trPr>
        <w:tc>
          <w:tcPr>
            <w:tcW w:w="10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Rotated Factor Pattern</w:t>
            </w:r>
          </w:p>
        </w:tc>
      </w:tr>
      <w:tr w:rsidR="00012257" w:rsidTr="001D5B70">
        <w:trPr>
          <w:cantSplit/>
          <w:tblHeader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Component</w:t>
            </w:r>
          </w:p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Component</w:t>
            </w:r>
          </w:p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Component 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Component 4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Component 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012257" w:rsidRP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12257">
              <w:rPr>
                <w:b/>
                <w:bCs/>
                <w:color w:val="000000"/>
                <w:sz w:val="18"/>
                <w:szCs w:val="22"/>
              </w:rPr>
              <w:t>Component 6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012257" w:rsidRDefault="00012257" w:rsidP="001D5B70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F1351D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GENDER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-15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 xml:space="preserve">LOW </w:t>
            </w:r>
            <w:r w:rsidR="00012257" w:rsidRPr="00F1351D">
              <w:rPr>
                <w:b/>
                <w:bCs/>
                <w:color w:val="000000"/>
                <w:szCs w:val="22"/>
              </w:rPr>
              <w:t>BMI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012257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CROWDING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-32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RURAL SETTING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-18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DIABETES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-39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 w:rsidR="00776BE5">
              <w:rPr>
                <w:b/>
                <w:bCs/>
                <w:color w:val="000000"/>
                <w:szCs w:val="22"/>
              </w:rPr>
              <w:t>UENCY of  ALCOHOL</w:t>
            </w:r>
            <w:r w:rsidRPr="00F1351D">
              <w:rPr>
                <w:b/>
                <w:bCs/>
                <w:color w:val="000000"/>
                <w:szCs w:val="22"/>
              </w:rPr>
              <w:t xml:space="preserve"> use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-12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proofErr w:type="spellStart"/>
            <w:r w:rsidRPr="00F1351D">
              <w:rPr>
                <w:b/>
                <w:bCs/>
                <w:color w:val="000000"/>
                <w:szCs w:val="22"/>
              </w:rPr>
              <w:t>SMOKE_Cigg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proofErr w:type="spellStart"/>
            <w:r w:rsidRPr="00F1351D">
              <w:rPr>
                <w:b/>
                <w:bCs/>
                <w:color w:val="000000"/>
                <w:szCs w:val="22"/>
              </w:rPr>
              <w:t>SMOKE_Tobbaco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proofErr w:type="spellStart"/>
            <w:r w:rsidRPr="00F1351D">
              <w:rPr>
                <w:b/>
                <w:bCs/>
                <w:color w:val="000000"/>
                <w:szCs w:val="22"/>
              </w:rPr>
              <w:t>SMOKE_Other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 MILK intake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-43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BEANS intake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-7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 GREEN </w:t>
            </w:r>
            <w:proofErr w:type="spellStart"/>
            <w:r w:rsidR="001D5B70" w:rsidRPr="00F1351D">
              <w:rPr>
                <w:b/>
                <w:bCs/>
                <w:color w:val="000000"/>
                <w:szCs w:val="22"/>
              </w:rPr>
              <w:t>VEG</w:t>
            </w:r>
            <w:proofErr w:type="spellEnd"/>
            <w:r w:rsidR="001D5B70" w:rsidRPr="00F1351D">
              <w:rPr>
                <w:b/>
                <w:bCs/>
                <w:color w:val="000000"/>
                <w:szCs w:val="22"/>
              </w:rPr>
              <w:t xml:space="preserve"> intake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-4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 FRUIT intake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-30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 EGGS intake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 FISH intake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-6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 xml:space="preserve"> MEAT  intake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LITERACY LEVEL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EDUCATION ATTAINMENT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 xml:space="preserve">INDOOR AIR </w:t>
            </w:r>
            <w:r w:rsidR="00776BE5" w:rsidRPr="00F1351D">
              <w:rPr>
                <w:b/>
                <w:bCs/>
                <w:color w:val="000000"/>
                <w:szCs w:val="22"/>
              </w:rPr>
              <w:t>POLLUTION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-34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-11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776BE5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Access to family </w:t>
            </w:r>
            <w:r w:rsidR="001D5B70" w:rsidRPr="00F1351D">
              <w:rPr>
                <w:b/>
                <w:bCs/>
                <w:color w:val="000000"/>
                <w:szCs w:val="22"/>
              </w:rPr>
              <w:t>HEALTH</w:t>
            </w:r>
            <w:r w:rsidR="00F1351D" w:rsidRPr="00F1351D">
              <w:rPr>
                <w:b/>
                <w:bCs/>
                <w:color w:val="000000"/>
                <w:szCs w:val="22"/>
              </w:rPr>
              <w:t xml:space="preserve"> </w:t>
            </w:r>
            <w:r w:rsidR="001D5B70" w:rsidRPr="00F1351D">
              <w:rPr>
                <w:b/>
                <w:bCs/>
                <w:color w:val="000000"/>
                <w:szCs w:val="22"/>
              </w:rPr>
              <w:t>INS</w:t>
            </w:r>
            <w:r w:rsidR="00F1351D" w:rsidRPr="00F1351D">
              <w:rPr>
                <w:b/>
                <w:bCs/>
                <w:color w:val="000000"/>
                <w:szCs w:val="22"/>
              </w:rPr>
              <w:t>URANCE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-55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</w:tr>
      <w:tr w:rsidR="00012257" w:rsidTr="001D5B70">
        <w:trPr>
          <w:cantSplit/>
        </w:trPr>
        <w:tc>
          <w:tcPr>
            <w:tcW w:w="191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012257" w:rsidRPr="00F1351D" w:rsidRDefault="001D5B70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ANEMIA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-13</w:t>
            </w:r>
          </w:p>
        </w:tc>
        <w:tc>
          <w:tcPr>
            <w:tcW w:w="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 w:rsidR="00012257" w:rsidTr="001D5B70">
        <w:trPr>
          <w:cantSplit/>
        </w:trPr>
        <w:tc>
          <w:tcPr>
            <w:tcW w:w="10419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012257" w:rsidRDefault="00012257" w:rsidP="001D5B70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Printed values are multiplied by 100 and rounded to the nearest integer.  Values greater than </w:t>
            </w:r>
            <w:r w:rsidRPr="00012257">
              <w:rPr>
                <w:bCs/>
                <w:color w:val="00000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2"/>
                <w:szCs w:val="22"/>
              </w:rPr>
              <w:t>0.39</w:t>
            </w:r>
            <w:r w:rsidRPr="00012257">
              <w:rPr>
                <w:bCs/>
                <w:color w:val="000000"/>
                <w:sz w:val="22"/>
                <w:szCs w:val="22"/>
              </w:rPr>
              <w:t>|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are flagged by an '*'.</w:t>
            </w:r>
          </w:p>
        </w:tc>
      </w:tr>
    </w:tbl>
    <w:p w:rsidR="00012257" w:rsidRDefault="00012257"/>
    <w:p w:rsidR="00012257" w:rsidRDefault="00012257"/>
    <w:p w:rsidR="00012257" w:rsidRDefault="00012257" w:rsidP="00012257">
      <w:pPr>
        <w:adjustRightInd w:val="0"/>
        <w:rPr>
          <w:b/>
          <w:bCs/>
          <w:color w:val="000000"/>
          <w:sz w:val="22"/>
          <w:szCs w:val="22"/>
        </w:rPr>
      </w:pPr>
    </w:p>
    <w:p w:rsidR="00012257" w:rsidRDefault="00012257" w:rsidP="002B0FE1">
      <w:pPr>
        <w:autoSpaceDE/>
        <w:autoSpaceDN/>
        <w:rPr>
          <w:color w:val="000000"/>
        </w:rPr>
      </w:pPr>
      <w:bookmarkStart w:id="0" w:name="IDX8"/>
      <w:bookmarkEnd w:id="0"/>
      <w:r>
        <w:rPr>
          <w:color w:val="000000"/>
        </w:rPr>
        <w:t xml:space="preserve">Table </w:t>
      </w:r>
      <w:proofErr w:type="spellStart"/>
      <w:r w:rsidR="002B0FE1">
        <w:rPr>
          <w:color w:val="000000"/>
        </w:rPr>
        <w:t>S</w:t>
      </w:r>
      <w:r>
        <w:rPr>
          <w:color w:val="000000"/>
        </w:rPr>
        <w:t>1b</w:t>
      </w:r>
      <w:proofErr w:type="spellEnd"/>
      <w:r>
        <w:rPr>
          <w:color w:val="000000"/>
        </w:rPr>
        <w:t xml:space="preserve">.  Principal Components Analysis.  </w:t>
      </w:r>
      <w:r w:rsidR="00F1351D">
        <w:rPr>
          <w:color w:val="000000"/>
        </w:rPr>
        <w:t>Variance explained by each C</w:t>
      </w:r>
      <w:r>
        <w:rPr>
          <w:color w:val="000000"/>
        </w:rPr>
        <w:t>omponent</w:t>
      </w:r>
      <w:r w:rsidR="00F1351D">
        <w:rPr>
          <w:color w:val="000000"/>
        </w:rPr>
        <w:t>.</w:t>
      </w:r>
      <w:r>
        <w:rPr>
          <w:color w:val="000000"/>
        </w:rPr>
        <w:t xml:space="preserve"> </w:t>
      </w:r>
    </w:p>
    <w:p w:rsidR="00012257" w:rsidRDefault="00012257" w:rsidP="00012257">
      <w:pPr>
        <w:adjustRightInd w:val="0"/>
        <w:rPr>
          <w:color w:val="000000"/>
        </w:rPr>
      </w:pPr>
    </w:p>
    <w:p w:rsidR="001D5B70" w:rsidRDefault="001D5B70" w:rsidP="00012257">
      <w:pPr>
        <w:adjustRightInd w:val="0"/>
        <w:rPr>
          <w:color w:val="000000"/>
        </w:rPr>
      </w:pPr>
    </w:p>
    <w:tbl>
      <w:tblPr>
        <w:tblpPr w:leftFromText="180" w:rightFromText="180" w:vertAnchor="page" w:horzAnchor="page" w:tblpX="3941" w:tblpY="2421"/>
        <w:tblW w:w="0" w:type="auto"/>
        <w:tblLayout w:type="fixed"/>
        <w:tblCellMar>
          <w:left w:w="60" w:type="dxa"/>
          <w:right w:w="60" w:type="dxa"/>
        </w:tblCellMar>
        <w:tblLook w:val="0000"/>
      </w:tblPr>
      <w:tblGrid>
        <w:gridCol w:w="1368"/>
        <w:gridCol w:w="1752"/>
      </w:tblGrid>
      <w:tr w:rsidR="002B0FE1" w:rsidRPr="00864FFB" w:rsidTr="002B0FE1">
        <w:trPr>
          <w:cantSplit/>
          <w:tblHeader/>
        </w:trPr>
        <w:tc>
          <w:tcPr>
            <w:tcW w:w="136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vAlign w:val="bottom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864FFB">
              <w:rPr>
                <w:b/>
                <w:bCs/>
                <w:color w:val="000000"/>
                <w:szCs w:val="22"/>
              </w:rPr>
              <w:t>Component</w:t>
            </w:r>
          </w:p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864FFB">
              <w:rPr>
                <w:b/>
                <w:bCs/>
                <w:color w:val="000000"/>
                <w:szCs w:val="22"/>
              </w:rPr>
              <w:t>Variance Explained by each component</w:t>
            </w:r>
          </w:p>
        </w:tc>
      </w:tr>
      <w:tr w:rsidR="002B0FE1" w:rsidRPr="00864FFB" w:rsidTr="002B0FE1">
        <w:trPr>
          <w:cantSplit/>
        </w:trPr>
        <w:tc>
          <w:tcPr>
            <w:tcW w:w="13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color w:val="000000"/>
              </w:rPr>
              <w:t>2.3801392</w:t>
            </w:r>
          </w:p>
        </w:tc>
      </w:tr>
      <w:tr w:rsidR="002B0FE1" w:rsidRPr="00864FFB" w:rsidTr="002B0FE1">
        <w:trPr>
          <w:cantSplit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color w:val="000000"/>
              </w:rPr>
              <w:t>2.3503737</w:t>
            </w:r>
          </w:p>
        </w:tc>
      </w:tr>
      <w:tr w:rsidR="002B0FE1" w:rsidRPr="00864FFB" w:rsidTr="002B0FE1">
        <w:trPr>
          <w:cantSplit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color w:val="000000"/>
              </w:rPr>
              <w:t>2.0915364</w:t>
            </w:r>
          </w:p>
        </w:tc>
      </w:tr>
      <w:tr w:rsidR="002B0FE1" w:rsidRPr="00864FFB" w:rsidTr="002B0FE1">
        <w:trPr>
          <w:cantSplit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color w:val="000000"/>
              </w:rPr>
              <w:t>1.6978730</w:t>
            </w:r>
          </w:p>
        </w:tc>
      </w:tr>
      <w:tr w:rsidR="002B0FE1" w:rsidRPr="00864FFB" w:rsidTr="002B0FE1">
        <w:trPr>
          <w:cantSplit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b/>
                <w:bCs/>
                <w:color w:val="000000"/>
                <w:szCs w:val="22"/>
              </w:rPr>
              <w:t xml:space="preserve"> 5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color w:val="000000"/>
              </w:rPr>
              <w:t>1.4576837</w:t>
            </w:r>
          </w:p>
        </w:tc>
      </w:tr>
      <w:tr w:rsidR="002B0FE1" w:rsidRPr="00864FFB" w:rsidTr="002B0FE1">
        <w:trPr>
          <w:cantSplit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2B0FE1" w:rsidRPr="00864FFB" w:rsidRDefault="002B0FE1" w:rsidP="002B0FE1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864FFB">
              <w:rPr>
                <w:color w:val="000000"/>
              </w:rPr>
              <w:t>1.2111730</w:t>
            </w:r>
          </w:p>
        </w:tc>
      </w:tr>
    </w:tbl>
    <w:p w:rsidR="001D5B70" w:rsidRDefault="001D5B70" w:rsidP="00012257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 w:rsidP="001D5B70">
      <w:pPr>
        <w:adjustRightInd w:val="0"/>
        <w:rPr>
          <w:color w:val="000000"/>
        </w:rPr>
      </w:pPr>
    </w:p>
    <w:p w:rsidR="001D5B70" w:rsidRDefault="001D5B70">
      <w:pPr>
        <w:autoSpaceDE/>
        <w:autoSpaceDN/>
        <w:rPr>
          <w:color w:val="000000"/>
        </w:rPr>
      </w:pPr>
      <w:r>
        <w:rPr>
          <w:color w:val="000000"/>
        </w:rPr>
        <w:br w:type="page"/>
      </w:r>
    </w:p>
    <w:p w:rsidR="001D5B70" w:rsidRDefault="001D5B70" w:rsidP="001D5B70">
      <w:pPr>
        <w:adjustRightInd w:val="0"/>
        <w:rPr>
          <w:color w:val="000000"/>
        </w:rPr>
      </w:pPr>
      <w:r>
        <w:rPr>
          <w:color w:val="000000"/>
        </w:rPr>
        <w:lastRenderedPageBreak/>
        <w:t xml:space="preserve">Table </w:t>
      </w:r>
      <w:proofErr w:type="spellStart"/>
      <w:r w:rsidR="002B0FE1">
        <w:rPr>
          <w:color w:val="000000"/>
        </w:rPr>
        <w:t>S</w:t>
      </w:r>
      <w:r>
        <w:rPr>
          <w:color w:val="000000"/>
        </w:rPr>
        <w:t>1c</w:t>
      </w:r>
      <w:proofErr w:type="spellEnd"/>
      <w:r>
        <w:rPr>
          <w:color w:val="000000"/>
        </w:rPr>
        <w:t>.  Principal Components Analysis.  Final Communality</w:t>
      </w:r>
      <w:r w:rsidR="00F1351D">
        <w:rPr>
          <w:color w:val="000000"/>
        </w:rPr>
        <w:t xml:space="preserve"> Estimates (</w:t>
      </w:r>
      <w:r w:rsidR="00F1351D" w:rsidRPr="00F1351D">
        <w:rPr>
          <w:bCs/>
          <w:color w:val="000000"/>
          <w:szCs w:val="22"/>
        </w:rPr>
        <w:t>Total = 11.188779</w:t>
      </w:r>
      <w:r w:rsidR="00F1351D">
        <w:rPr>
          <w:bCs/>
          <w:color w:val="000000"/>
          <w:szCs w:val="22"/>
        </w:rPr>
        <w:t>).</w:t>
      </w:r>
    </w:p>
    <w:p w:rsidR="001D5B70" w:rsidRDefault="001D5B70" w:rsidP="00012257">
      <w:pPr>
        <w:adjustRightInd w:val="0"/>
        <w:rPr>
          <w:color w:val="000000"/>
        </w:rPr>
      </w:pPr>
    </w:p>
    <w:p w:rsidR="00012257" w:rsidRDefault="00012257" w:rsidP="00012257">
      <w:pPr>
        <w:adjustRightInd w:val="0"/>
        <w:rPr>
          <w:color w:val="000000"/>
        </w:rPr>
      </w:pPr>
    </w:p>
    <w:p w:rsidR="00012257" w:rsidRDefault="00012257" w:rsidP="00012257">
      <w:pPr>
        <w:adjustRightInd w:val="0"/>
        <w:rPr>
          <w:color w:val="000000"/>
        </w:rPr>
      </w:pPr>
      <w:bookmarkStart w:id="1" w:name="IDX9"/>
      <w:bookmarkEnd w:id="1"/>
    </w:p>
    <w:p w:rsidR="00012257" w:rsidRDefault="00012257" w:rsidP="00012257">
      <w:pPr>
        <w:adjustRightInd w:val="0"/>
        <w:rPr>
          <w:color w:val="000000"/>
        </w:rPr>
      </w:pPr>
    </w:p>
    <w:tbl>
      <w:tblPr>
        <w:tblpPr w:leftFromText="180" w:rightFromText="180" w:vertAnchor="page" w:horzAnchor="margin" w:tblpXSpec="center" w:tblpY="1911"/>
        <w:tblW w:w="3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914"/>
        <w:gridCol w:w="1914"/>
      </w:tblGrid>
      <w:tr w:rsidR="00F1351D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F1351D" w:rsidRDefault="00F1351D" w:rsidP="00E442EF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F1351D" w:rsidRDefault="00F1351D" w:rsidP="00F1351D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Final Communality Estimates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GENDER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0.68298884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LOW BMI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0.39224854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CROWDING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0.14241175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RURAL SETTING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0.62344931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DIABETES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0.17492306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>UENCY of  ALCOHOL</w:t>
            </w:r>
            <w:r w:rsidRPr="00F1351D">
              <w:rPr>
                <w:b/>
                <w:bCs/>
                <w:color w:val="000000"/>
                <w:szCs w:val="22"/>
              </w:rPr>
              <w:t xml:space="preserve"> use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0.51394779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proofErr w:type="spellStart"/>
            <w:r w:rsidRPr="00F1351D">
              <w:rPr>
                <w:b/>
                <w:bCs/>
                <w:color w:val="000000"/>
                <w:szCs w:val="22"/>
              </w:rPr>
              <w:t>SMOKE_Cigg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0.51602728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proofErr w:type="spellStart"/>
            <w:r w:rsidRPr="00F1351D">
              <w:rPr>
                <w:b/>
                <w:bCs/>
                <w:color w:val="000000"/>
                <w:szCs w:val="22"/>
              </w:rPr>
              <w:t>SMOKE_Tobbaco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0.36015707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proofErr w:type="spellStart"/>
            <w:r w:rsidRPr="00F1351D">
              <w:rPr>
                <w:b/>
                <w:bCs/>
                <w:color w:val="000000"/>
                <w:szCs w:val="22"/>
              </w:rPr>
              <w:t>SMOKE_Other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0.30037547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 MILK intake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0.46717166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BEANS intake 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0.58800407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 GREEN </w:t>
            </w:r>
            <w:proofErr w:type="spellStart"/>
            <w:r w:rsidRPr="00F1351D">
              <w:rPr>
                <w:b/>
                <w:bCs/>
                <w:color w:val="000000"/>
                <w:szCs w:val="22"/>
              </w:rPr>
              <w:t>VEG</w:t>
            </w:r>
            <w:proofErr w:type="spellEnd"/>
            <w:r w:rsidRPr="00F1351D">
              <w:rPr>
                <w:b/>
                <w:bCs/>
                <w:color w:val="000000"/>
                <w:szCs w:val="22"/>
              </w:rPr>
              <w:t xml:space="preserve"> intake  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0.57278206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 FRUIT intake  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0.44385875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 EGGS intake 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0.76535015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 FISH intake 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0.75746052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FREQ</w:t>
            </w:r>
            <w:r>
              <w:rPr>
                <w:b/>
                <w:bCs/>
                <w:color w:val="000000"/>
                <w:szCs w:val="22"/>
              </w:rPr>
              <w:t xml:space="preserve">UENCY of </w:t>
            </w:r>
            <w:r w:rsidRPr="00F1351D">
              <w:rPr>
                <w:b/>
                <w:bCs/>
                <w:color w:val="000000"/>
                <w:szCs w:val="22"/>
              </w:rPr>
              <w:t xml:space="preserve">  MEAT  intake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0.79645305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LITERACY LEVEL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0.84831864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EDUCATION ATTAINMENT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0.87650383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INDOOR AIR POLLUTION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0.68361203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 xml:space="preserve">Access to family </w:t>
            </w:r>
            <w:r w:rsidRPr="00F1351D">
              <w:rPr>
                <w:b/>
                <w:bCs/>
                <w:color w:val="000000"/>
                <w:szCs w:val="22"/>
              </w:rPr>
              <w:t>HEALTH INSURANCE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0.30773273</w:t>
            </w:r>
          </w:p>
        </w:tc>
      </w:tr>
      <w:tr w:rsidR="00776BE5" w:rsidRPr="00F1351D" w:rsidTr="00F1351D">
        <w:trPr>
          <w:cantSplit/>
        </w:trPr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 w:rsidRPr="00F1351D">
              <w:rPr>
                <w:b/>
                <w:bCs/>
                <w:color w:val="000000"/>
                <w:szCs w:val="22"/>
              </w:rPr>
              <w:t>ANEMIA</w:t>
            </w:r>
          </w:p>
        </w:tc>
        <w:tc>
          <w:tcPr>
            <w:tcW w:w="1914" w:type="dxa"/>
            <w:shd w:val="clear" w:color="auto" w:fill="auto"/>
          </w:tcPr>
          <w:p w:rsidR="00776BE5" w:rsidRPr="00F1351D" w:rsidRDefault="00776BE5" w:rsidP="00776BE5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Cs w:val="22"/>
              </w:rPr>
            </w:pPr>
            <w:r>
              <w:rPr>
                <w:color w:val="000000"/>
              </w:rPr>
              <w:t>0.37500236</w:t>
            </w:r>
          </w:p>
        </w:tc>
      </w:tr>
    </w:tbl>
    <w:p w:rsidR="00012257" w:rsidRDefault="00012257" w:rsidP="001D5B70">
      <w:pPr>
        <w:pStyle w:val="Heading2"/>
      </w:pPr>
    </w:p>
    <w:sectPr w:rsidR="00012257" w:rsidSect="00F1351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9A" w:rsidRDefault="006C4C9A" w:rsidP="00012257">
      <w:r>
        <w:separator/>
      </w:r>
    </w:p>
  </w:endnote>
  <w:endnote w:type="continuationSeparator" w:id="0">
    <w:p w:rsidR="006C4C9A" w:rsidRDefault="006C4C9A" w:rsidP="00012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6" w:rsidRDefault="003E3CD6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9A" w:rsidRDefault="006C4C9A" w:rsidP="00012257">
      <w:r>
        <w:separator/>
      </w:r>
    </w:p>
  </w:footnote>
  <w:footnote w:type="continuationSeparator" w:id="0">
    <w:p w:rsidR="006C4C9A" w:rsidRDefault="006C4C9A" w:rsidP="00012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CD6" w:rsidRDefault="003E3CD6">
    <w:pPr>
      <w:adjustRightInd w:val="0"/>
      <w:rPr>
        <w:b/>
        <w:bCs/>
        <w:i/>
        <w:iCs/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257"/>
    <w:rsid w:val="00012257"/>
    <w:rsid w:val="001D5B70"/>
    <w:rsid w:val="00233184"/>
    <w:rsid w:val="0025037F"/>
    <w:rsid w:val="002A74BE"/>
    <w:rsid w:val="002B0FE1"/>
    <w:rsid w:val="002C0E5E"/>
    <w:rsid w:val="002C416C"/>
    <w:rsid w:val="00351535"/>
    <w:rsid w:val="00364CB1"/>
    <w:rsid w:val="003808D9"/>
    <w:rsid w:val="003E3CD6"/>
    <w:rsid w:val="004129D0"/>
    <w:rsid w:val="00486E49"/>
    <w:rsid w:val="0050048C"/>
    <w:rsid w:val="00523993"/>
    <w:rsid w:val="0053140E"/>
    <w:rsid w:val="00590409"/>
    <w:rsid w:val="005C14B7"/>
    <w:rsid w:val="00663F13"/>
    <w:rsid w:val="00681119"/>
    <w:rsid w:val="006C4C9A"/>
    <w:rsid w:val="006F3C3F"/>
    <w:rsid w:val="00776BE5"/>
    <w:rsid w:val="007E0694"/>
    <w:rsid w:val="00841F28"/>
    <w:rsid w:val="00864FFB"/>
    <w:rsid w:val="009245EC"/>
    <w:rsid w:val="0098283A"/>
    <w:rsid w:val="00986B42"/>
    <w:rsid w:val="00AD231D"/>
    <w:rsid w:val="00B060A6"/>
    <w:rsid w:val="00B6640C"/>
    <w:rsid w:val="00C96D3B"/>
    <w:rsid w:val="00D05961"/>
    <w:rsid w:val="00D31208"/>
    <w:rsid w:val="00D6567D"/>
    <w:rsid w:val="00DB5AC2"/>
    <w:rsid w:val="00DF2D63"/>
    <w:rsid w:val="00DF47C0"/>
    <w:rsid w:val="00E30791"/>
    <w:rsid w:val="00E51693"/>
    <w:rsid w:val="00E7601E"/>
    <w:rsid w:val="00E874E3"/>
    <w:rsid w:val="00EC6A32"/>
    <w:rsid w:val="00F1351D"/>
    <w:rsid w:val="00F30F3B"/>
    <w:rsid w:val="00F675F3"/>
    <w:rsid w:val="00FB0490"/>
    <w:rsid w:val="00FC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57"/>
    <w:pPr>
      <w:autoSpaceDE w:val="0"/>
      <w:autoSpaceDN w:val="0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61"/>
    <w:pPr>
      <w:keepNext/>
      <w:keepLines/>
      <w:autoSpaceDE/>
      <w:autoSpaceDN/>
      <w:spacing w:before="480"/>
      <w:outlineLvl w:val="0"/>
    </w:pPr>
    <w:rPr>
      <w:rFonts w:ascii="Bell MT" w:eastAsia="Times New Roman" w:hAnsi="Bell M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05961"/>
    <w:pPr>
      <w:keepNext/>
      <w:autoSpaceDE/>
      <w:autoSpaceDN/>
      <w:spacing w:before="240" w:after="60"/>
      <w:outlineLvl w:val="1"/>
    </w:pPr>
    <w:rPr>
      <w:rFonts w:ascii="Bell MT" w:eastAsia="Times New Roman" w:hAnsi="Bell MT"/>
      <w:b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961"/>
    <w:pPr>
      <w:keepNext/>
      <w:keepLines/>
      <w:autoSpaceDE/>
      <w:autoSpaceDN/>
      <w:spacing w:before="200"/>
      <w:outlineLvl w:val="2"/>
    </w:pPr>
    <w:rPr>
      <w:rFonts w:ascii="Bell MT" w:eastAsia="Times New Roman" w:hAnsi="Bell MT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961"/>
    <w:pPr>
      <w:keepNext/>
      <w:keepLines/>
      <w:autoSpaceDE/>
      <w:autoSpaceDN/>
      <w:spacing w:before="200"/>
      <w:outlineLvl w:val="3"/>
    </w:pPr>
    <w:rPr>
      <w:rFonts w:ascii="Bell MT" w:eastAsia="Times New Roman" w:hAnsi="Bell MT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61"/>
    <w:rPr>
      <w:rFonts w:ascii="Bell MT" w:eastAsia="Times New Roman" w:hAnsi="Bell MT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05961"/>
    <w:rPr>
      <w:rFonts w:ascii="Bell MT" w:eastAsia="Times New Roman" w:hAnsi="Bell MT" w:cs="Times New Roman"/>
      <w:b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5961"/>
    <w:rPr>
      <w:rFonts w:ascii="Bell MT" w:eastAsia="Times New Roman" w:hAnsi="Bell MT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5961"/>
    <w:rPr>
      <w:rFonts w:ascii="Bell MT" w:eastAsia="Times New Roman" w:hAnsi="Bell MT"/>
      <w:b/>
      <w:bCs/>
      <w:i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961"/>
    <w:pPr>
      <w:numPr>
        <w:ilvl w:val="1"/>
      </w:numPr>
      <w:autoSpaceDE/>
      <w:autoSpaceDN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9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D05961"/>
    <w:rPr>
      <w:rFonts w:ascii="Bell MT" w:hAnsi="Bell MT"/>
      <w:sz w:val="24"/>
      <w:szCs w:val="22"/>
    </w:rPr>
  </w:style>
  <w:style w:type="paragraph" w:styleId="ListParagraph">
    <w:name w:val="List Paragraph"/>
    <w:basedOn w:val="Normal"/>
    <w:uiPriority w:val="34"/>
    <w:qFormat/>
    <w:rsid w:val="00D05961"/>
    <w:pPr>
      <w:autoSpaceDE/>
      <w:autoSpaceDN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05961"/>
    <w:pPr>
      <w:spacing w:line="276" w:lineRule="auto"/>
      <w:outlineLvl w:val="9"/>
    </w:pPr>
    <w:rPr>
      <w:rFonts w:ascii="Cambria" w:hAnsi="Cambria"/>
      <w:color w:val="365F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5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2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257"/>
    <w:rPr>
      <w:rFonts w:ascii="Times New Roman" w:eastAsiaTheme="minorEastAsia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12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257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Olivia Oxlade</dc:creator>
  <cp:keywords/>
  <dc:description/>
  <cp:lastModifiedBy> Olivia Oxlade</cp:lastModifiedBy>
  <cp:revision>3</cp:revision>
  <cp:lastPrinted>2011-10-03T17:04:00Z</cp:lastPrinted>
  <dcterms:created xsi:type="dcterms:W3CDTF">2012-10-26T01:42:00Z</dcterms:created>
  <dcterms:modified xsi:type="dcterms:W3CDTF">2012-10-26T01:55:00Z</dcterms:modified>
</cp:coreProperties>
</file>