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5A" w:rsidRPr="00A1105A" w:rsidRDefault="00B63B0A" w:rsidP="0032292E">
      <w:pPr>
        <w:rPr>
          <w:b/>
          <w:u w:val="single"/>
          <w:lang w:val="en-US"/>
        </w:rPr>
      </w:pPr>
      <w:r>
        <w:rPr>
          <w:b/>
          <w:u w:val="single"/>
          <w:lang w:val="en-US"/>
        </w:rPr>
        <w:t xml:space="preserve">S1 </w:t>
      </w:r>
      <w:r w:rsidR="00A1105A" w:rsidRPr="00A1105A">
        <w:rPr>
          <w:b/>
          <w:u w:val="single"/>
          <w:lang w:val="en-US"/>
        </w:rPr>
        <w:t>Supplementary Methods:</w:t>
      </w:r>
    </w:p>
    <w:p w:rsidR="00A1105A" w:rsidRDefault="00A1105A" w:rsidP="0032292E">
      <w:pPr>
        <w:rPr>
          <w:u w:val="single"/>
          <w:lang w:val="en-US"/>
        </w:rPr>
      </w:pPr>
    </w:p>
    <w:p w:rsidR="009A16C3" w:rsidRPr="009A16C3" w:rsidRDefault="009A16C3" w:rsidP="0032292E">
      <w:pPr>
        <w:rPr>
          <w:u w:val="single"/>
          <w:lang w:val="en-US"/>
        </w:rPr>
      </w:pPr>
      <w:r w:rsidRPr="009A16C3">
        <w:rPr>
          <w:u w:val="single"/>
          <w:lang w:val="en-US"/>
        </w:rPr>
        <w:t>SELEX</w:t>
      </w:r>
    </w:p>
    <w:p w:rsidR="009A16C3" w:rsidRDefault="009A16C3" w:rsidP="0032292E">
      <w:pPr>
        <w:rPr>
          <w:lang w:val="en-US"/>
        </w:rPr>
      </w:pPr>
      <w:r>
        <w:rPr>
          <w:lang w:val="en-US"/>
        </w:rPr>
        <w:t>A synt</w:t>
      </w:r>
      <w:bookmarkStart w:id="0" w:name="_GoBack"/>
      <w:bookmarkEnd w:id="0"/>
      <w:r>
        <w:rPr>
          <w:lang w:val="en-US"/>
        </w:rPr>
        <w:t>hetic DNA random library (</w:t>
      </w:r>
      <w:proofErr w:type="spellStart"/>
      <w:r>
        <w:rPr>
          <w:lang w:val="en-US"/>
        </w:rPr>
        <w:t>Proligo</w:t>
      </w:r>
      <w:proofErr w:type="spellEnd"/>
      <w:r>
        <w:rPr>
          <w:lang w:val="en-US"/>
        </w:rPr>
        <w:t>) of 30 random nucleotides (4</w:t>
      </w:r>
      <w:r>
        <w:rPr>
          <w:vertAlign w:val="superscript"/>
          <w:lang w:val="en-US"/>
        </w:rPr>
        <w:t>30</w:t>
      </w:r>
      <w:r>
        <w:rPr>
          <w:vertAlign w:val="subscript"/>
          <w:lang w:val="en-US"/>
        </w:rPr>
        <w:t>UACG</w:t>
      </w:r>
      <w:r>
        <w:rPr>
          <w:lang w:val="en-US"/>
        </w:rPr>
        <w:t xml:space="preserve"> = </w:t>
      </w:r>
      <w:r w:rsidR="005774A8">
        <w:rPr>
          <w:lang w:val="en-US"/>
        </w:rPr>
        <w:t xml:space="preserve">theoretically </w:t>
      </w:r>
      <w:r>
        <w:rPr>
          <w:lang w:val="en-US"/>
        </w:rPr>
        <w:t>10</w:t>
      </w:r>
      <w:r>
        <w:rPr>
          <w:vertAlign w:val="superscript"/>
          <w:lang w:val="en-US"/>
        </w:rPr>
        <w:t>18</w:t>
      </w:r>
      <w:r>
        <w:rPr>
          <w:lang w:val="en-US"/>
        </w:rPr>
        <w:t xml:space="preserve"> different sequences) flanked by 5' and 3' invariant linker sequences (5'-GTGTGACCGACCGTGGTGC-3’ and 5'-GCAGTGAAGGCTGGTAACC-3’) was amplified by PCR using </w:t>
      </w:r>
      <w:proofErr w:type="spellStart"/>
      <w:r>
        <w:rPr>
          <w:lang w:val="en-US"/>
        </w:rPr>
        <w:t>AmpliTaq</w:t>
      </w:r>
      <w:proofErr w:type="spellEnd"/>
      <w:r>
        <w:rPr>
          <w:lang w:val="en-US"/>
        </w:rPr>
        <w:t xml:space="preserve"> Gold polymerase (Applied </w:t>
      </w:r>
      <w:proofErr w:type="spellStart"/>
      <w:r>
        <w:rPr>
          <w:lang w:val="en-US"/>
        </w:rPr>
        <w:t>Biosystems</w:t>
      </w:r>
      <w:proofErr w:type="spellEnd"/>
      <w:r>
        <w:rPr>
          <w:lang w:val="en-US"/>
        </w:rPr>
        <w:t xml:space="preserve">) and </w:t>
      </w:r>
      <w:r w:rsidR="005774A8">
        <w:rPr>
          <w:lang w:val="en-US"/>
        </w:rPr>
        <w:t xml:space="preserve">3´SL downstream </w:t>
      </w:r>
      <w:r>
        <w:rPr>
          <w:lang w:val="en-US"/>
        </w:rPr>
        <w:t xml:space="preserve">primers 5'-TAATACGACTCACTATAGGTTACCAGCCTTCACTGC-3’ (including the T7 polymerase transcription promoter complementary to the 3' end of the DNA library), as well as </w:t>
      </w:r>
      <w:r w:rsidR="005774A8">
        <w:rPr>
          <w:lang w:val="en-US"/>
        </w:rPr>
        <w:t xml:space="preserve">P20 upstream </w:t>
      </w:r>
      <w:r>
        <w:rPr>
          <w:lang w:val="en-US"/>
        </w:rPr>
        <w:t xml:space="preserve">primers 5'-GTGTGACCGACCGTGGTGC-3’ (for hybridization to the 5' complement of the library and subsequent </w:t>
      </w:r>
      <w:proofErr w:type="spellStart"/>
      <w:r>
        <w:rPr>
          <w:lang w:val="en-US"/>
        </w:rPr>
        <w:t>transcribtion</w:t>
      </w:r>
      <w:proofErr w:type="spellEnd"/>
      <w:r>
        <w:rPr>
          <w:lang w:val="en-US"/>
        </w:rPr>
        <w:t xml:space="preserve"> into RNA). After phenol/chloroform extraction and ethanol precipitation of the PCR products, the in vitro transcription reaction was performed for 2 h at 37°C using the </w:t>
      </w:r>
      <w:proofErr w:type="spellStart"/>
      <w:r>
        <w:rPr>
          <w:lang w:val="en-US"/>
        </w:rPr>
        <w:t>Ampliscribe</w:t>
      </w:r>
      <w:proofErr w:type="spellEnd"/>
      <w:r>
        <w:rPr>
          <w:lang w:val="en-US"/>
        </w:rPr>
        <w:t xml:space="preserve"> T7 high-yield transcription kit (</w:t>
      </w:r>
      <w:proofErr w:type="spellStart"/>
      <w:r>
        <w:rPr>
          <w:lang w:val="en-US"/>
        </w:rPr>
        <w:t>Epicentre</w:t>
      </w:r>
      <w:proofErr w:type="spellEnd"/>
      <w:r>
        <w:rPr>
          <w:lang w:val="en-US"/>
        </w:rPr>
        <w:t xml:space="preserve"> Technologies). In vitro transcribed RNA was quality controlled on denaturing polyacrylamide / TBE gels. Bands were visualized by UV shadowing, cut out, and RNA extraction buffer (10 </w:t>
      </w:r>
      <w:proofErr w:type="spellStart"/>
      <w:r>
        <w:rPr>
          <w:lang w:val="en-US"/>
        </w:rPr>
        <w:t>mM</w:t>
      </w:r>
      <w:proofErr w:type="spellEnd"/>
      <w:r>
        <w:rPr>
          <w:lang w:val="en-US"/>
        </w:rPr>
        <w:t xml:space="preserve"> </w:t>
      </w:r>
      <w:proofErr w:type="spellStart"/>
      <w:r>
        <w:rPr>
          <w:lang w:val="en-US"/>
        </w:rPr>
        <w:t>Tris-HCl</w:t>
      </w:r>
      <w:proofErr w:type="spellEnd"/>
      <w:r>
        <w:rPr>
          <w:lang w:val="en-US"/>
        </w:rPr>
        <w:t xml:space="preserve">, pH 8.0, 1 </w:t>
      </w:r>
      <w:proofErr w:type="spellStart"/>
      <w:r>
        <w:rPr>
          <w:lang w:val="en-US"/>
        </w:rPr>
        <w:t>mM</w:t>
      </w:r>
      <w:proofErr w:type="spellEnd"/>
      <w:r>
        <w:rPr>
          <w:lang w:val="en-US"/>
        </w:rPr>
        <w:t xml:space="preserve"> EDTA, </w:t>
      </w:r>
      <w:proofErr w:type="gramStart"/>
      <w:r>
        <w:rPr>
          <w:lang w:val="en-US"/>
        </w:rPr>
        <w:t>25</w:t>
      </w:r>
      <w:proofErr w:type="gramEnd"/>
      <w:r>
        <w:rPr>
          <w:lang w:val="en-US"/>
        </w:rPr>
        <w:t xml:space="preserve"> </w:t>
      </w:r>
      <w:proofErr w:type="spellStart"/>
      <w:r>
        <w:rPr>
          <w:lang w:val="en-US"/>
        </w:rPr>
        <w:t>mM</w:t>
      </w:r>
      <w:proofErr w:type="spellEnd"/>
      <w:r>
        <w:rPr>
          <w:lang w:val="en-US"/>
        </w:rPr>
        <w:t xml:space="preserve"> </w:t>
      </w:r>
      <w:proofErr w:type="spellStart"/>
      <w:r>
        <w:rPr>
          <w:lang w:val="en-US"/>
        </w:rPr>
        <w:t>NaCl</w:t>
      </w:r>
      <w:proofErr w:type="spellEnd"/>
      <w:r>
        <w:rPr>
          <w:lang w:val="en-US"/>
        </w:rPr>
        <w:t>) was added. RNA elution was performed rotating overnight at 4°C or on a vortex for 4 h at room temperature. Eluted RNA was separated from the acrylamide gel by centrifugation through a glass fiber filter. The RNA was purified by phenol/chloroform extraction and ethanol precipitation, and the amount of pure RNA was quantified by measuring the absorbance at 260 nm. This RNA pool was used for the first round of selection (= RNA0).</w:t>
      </w:r>
    </w:p>
    <w:p w:rsidR="009A16C3" w:rsidRDefault="009A16C3" w:rsidP="0032292E">
      <w:pPr>
        <w:rPr>
          <w:lang w:val="en-US"/>
        </w:rPr>
      </w:pPr>
      <w:r>
        <w:rPr>
          <w:lang w:val="en-US"/>
        </w:rPr>
        <w:t>In vitro selection was performed in 100 µl SELEX</w:t>
      </w:r>
      <w:r w:rsidR="005774A8">
        <w:rPr>
          <w:lang w:val="en-US"/>
        </w:rPr>
        <w:t xml:space="preserve"> binding buffer (1x PBS, 1 </w:t>
      </w:r>
      <w:proofErr w:type="spellStart"/>
      <w:r w:rsidR="005774A8">
        <w:rPr>
          <w:lang w:val="en-US"/>
        </w:rPr>
        <w:t>mM</w:t>
      </w:r>
      <w:proofErr w:type="spellEnd"/>
      <w:r w:rsidR="005774A8">
        <w:rPr>
          <w:lang w:val="en-US"/>
        </w:rPr>
        <w:t xml:space="preserve"> magnesium acetate</w:t>
      </w:r>
      <w:r>
        <w:rPr>
          <w:lang w:val="en-US"/>
        </w:rPr>
        <w:t xml:space="preserve">, </w:t>
      </w:r>
      <w:proofErr w:type="gramStart"/>
      <w:r>
        <w:rPr>
          <w:lang w:val="en-US"/>
        </w:rPr>
        <w:t>pH</w:t>
      </w:r>
      <w:proofErr w:type="gramEnd"/>
      <w:r>
        <w:rPr>
          <w:lang w:val="en-US"/>
        </w:rPr>
        <w:t xml:space="preserve"> 7.0) on ice.</w:t>
      </w:r>
    </w:p>
    <w:p w:rsidR="009A16C3" w:rsidRDefault="009A16C3" w:rsidP="0032292E">
      <w:pPr>
        <w:rPr>
          <w:lang w:val="en-US"/>
        </w:rPr>
      </w:pPr>
      <w:r>
        <w:rPr>
          <w:color w:val="000000"/>
          <w:lang w:val="en-US"/>
        </w:rPr>
        <w:t>First, a counter-selection on</w:t>
      </w:r>
      <w:r>
        <w:rPr>
          <w:lang w:val="en-US"/>
        </w:rPr>
        <w:t xml:space="preserve"> Ni</w:t>
      </w:r>
      <w:r>
        <w:rPr>
          <w:vertAlign w:val="superscript"/>
          <w:lang w:val="en-US"/>
        </w:rPr>
        <w:t>2+</w:t>
      </w:r>
      <w:r>
        <w:rPr>
          <w:lang w:val="en-US"/>
        </w:rPr>
        <w:t xml:space="preserve">-NTA beads </w:t>
      </w:r>
      <w:r>
        <w:rPr>
          <w:color w:val="000000"/>
          <w:lang w:val="en-US"/>
        </w:rPr>
        <w:t>(</w:t>
      </w:r>
      <w:proofErr w:type="spellStart"/>
      <w:r>
        <w:rPr>
          <w:color w:val="000000"/>
          <w:lang w:val="en-US"/>
        </w:rPr>
        <w:t>Promega</w:t>
      </w:r>
      <w:proofErr w:type="spellEnd"/>
      <w:r>
        <w:rPr>
          <w:color w:val="000000"/>
          <w:lang w:val="en-US"/>
        </w:rPr>
        <w:t xml:space="preserve">, </w:t>
      </w:r>
      <w:proofErr w:type="spellStart"/>
      <w:r>
        <w:rPr>
          <w:color w:val="000000"/>
          <w:lang w:val="en-US"/>
        </w:rPr>
        <w:t>MagneHis</w:t>
      </w:r>
      <w:proofErr w:type="spellEnd"/>
      <w:r>
        <w:rPr>
          <w:color w:val="000000"/>
          <w:lang w:val="en-US"/>
        </w:rPr>
        <w:t xml:space="preserve">™ Protein Purification System) </w:t>
      </w:r>
      <w:r>
        <w:rPr>
          <w:lang w:val="en-US"/>
        </w:rPr>
        <w:t xml:space="preserve">was performed in order to remove bead-binding RNAs by equilibration in SELEX binding buffer on ice. Then beads, denatured RNA (500 </w:t>
      </w:r>
      <w:proofErr w:type="spellStart"/>
      <w:r>
        <w:rPr>
          <w:lang w:val="en-US"/>
        </w:rPr>
        <w:t>pmol</w:t>
      </w:r>
      <w:proofErr w:type="spellEnd"/>
      <w:r>
        <w:rPr>
          <w:lang w:val="en-US"/>
        </w:rPr>
        <w:t xml:space="preserve"> for the 1</w:t>
      </w:r>
      <w:r>
        <w:rPr>
          <w:vertAlign w:val="superscript"/>
          <w:lang w:val="en-US"/>
        </w:rPr>
        <w:t>st</w:t>
      </w:r>
      <w:r>
        <w:rPr>
          <w:lang w:val="en-US"/>
        </w:rPr>
        <w:t xml:space="preserve"> round), and buffer were combined and incubated for 45 min on ice under constant agitation.</w:t>
      </w:r>
    </w:p>
    <w:p w:rsidR="009A16C3" w:rsidRDefault="009A16C3" w:rsidP="0032292E">
      <w:pPr>
        <w:rPr>
          <w:lang w:val="en-US"/>
        </w:rPr>
      </w:pPr>
      <w:r>
        <w:rPr>
          <w:lang w:val="en-US"/>
        </w:rPr>
        <w:lastRenderedPageBreak/>
        <w:t>A second round of counter-selection was performed in order to remove RNA binding unspecific to proteins. Therefore, His</w:t>
      </w:r>
      <w:r>
        <w:rPr>
          <w:vertAlign w:val="subscript"/>
          <w:lang w:val="en-US"/>
        </w:rPr>
        <w:t>6</w:t>
      </w:r>
      <w:r>
        <w:rPr>
          <w:lang w:val="en-US"/>
        </w:rPr>
        <w:t xml:space="preserve">-SNEV (10 </w:t>
      </w:r>
      <w:proofErr w:type="spellStart"/>
      <w:r>
        <w:rPr>
          <w:lang w:val="en-US"/>
        </w:rPr>
        <w:t>pmol</w:t>
      </w:r>
      <w:proofErr w:type="spellEnd"/>
      <w:r>
        <w:rPr>
          <w:lang w:val="en-US"/>
        </w:rPr>
        <w:t xml:space="preserve"> protein for the 1</w:t>
      </w:r>
      <w:r>
        <w:rPr>
          <w:vertAlign w:val="superscript"/>
          <w:lang w:val="en-US"/>
        </w:rPr>
        <w:t>st</w:t>
      </w:r>
      <w:r>
        <w:rPr>
          <w:lang w:val="en-US"/>
        </w:rPr>
        <w:t xml:space="preserve"> round) was coupled onto the beads in SELEX binding buffer for 15 min on ice. Afterwards, His</w:t>
      </w:r>
      <w:r>
        <w:rPr>
          <w:vertAlign w:val="subscript"/>
          <w:lang w:val="en-US"/>
        </w:rPr>
        <w:t>6</w:t>
      </w:r>
      <w:r>
        <w:rPr>
          <w:lang w:val="en-US"/>
        </w:rPr>
        <w:t>-SNEV coupled beads were washed with SELEX binding buffer and then the supernatant of the first counter-selection was added and incubated for 45 min on ice as before.</w:t>
      </w:r>
    </w:p>
    <w:p w:rsidR="009A16C3" w:rsidRDefault="009A16C3" w:rsidP="0032292E">
      <w:pPr>
        <w:rPr>
          <w:lang w:val="en-US"/>
        </w:rPr>
      </w:pPr>
      <w:r>
        <w:rPr>
          <w:lang w:val="en-US"/>
        </w:rPr>
        <w:t>Blom7</w:t>
      </w:r>
      <w:r w:rsidR="00A1105A">
        <w:rPr>
          <w:lang w:val="en-US"/>
        </w:rPr>
        <w:t xml:space="preserve"> wt</w:t>
      </w:r>
      <w:r>
        <w:rPr>
          <w:lang w:val="en-US"/>
        </w:rPr>
        <w:t>-His</w:t>
      </w:r>
      <w:r>
        <w:rPr>
          <w:vertAlign w:val="subscript"/>
          <w:lang w:val="en-US"/>
        </w:rPr>
        <w:t>6</w:t>
      </w:r>
      <w:r>
        <w:rPr>
          <w:lang w:val="en-US"/>
        </w:rPr>
        <w:t xml:space="preserve"> and Blom7-KH-His</w:t>
      </w:r>
      <w:r>
        <w:rPr>
          <w:vertAlign w:val="subscript"/>
          <w:lang w:val="en-US"/>
        </w:rPr>
        <w:t>6</w:t>
      </w:r>
      <w:r w:rsidRPr="00580F58">
        <w:rPr>
          <w:rStyle w:val="CommentReference1"/>
          <w:szCs w:val="16"/>
          <w:lang w:val="en-US"/>
        </w:rPr>
        <w:t xml:space="preserve"> </w:t>
      </w:r>
      <w:r>
        <w:rPr>
          <w:lang w:val="en-US"/>
        </w:rPr>
        <w:t xml:space="preserve">were coupled to the beads (10 </w:t>
      </w:r>
      <w:proofErr w:type="spellStart"/>
      <w:r>
        <w:rPr>
          <w:lang w:val="en-US"/>
        </w:rPr>
        <w:t>pmol</w:t>
      </w:r>
      <w:proofErr w:type="spellEnd"/>
      <w:r>
        <w:rPr>
          <w:lang w:val="en-US"/>
        </w:rPr>
        <w:t xml:space="preserve"> protein for the 1</w:t>
      </w:r>
      <w:r>
        <w:rPr>
          <w:vertAlign w:val="superscript"/>
          <w:lang w:val="en-US"/>
        </w:rPr>
        <w:t>st</w:t>
      </w:r>
      <w:r>
        <w:rPr>
          <w:lang w:val="en-US"/>
        </w:rPr>
        <w:t xml:space="preserve"> round) and washed several times with SELEX binding buffer. The supernatant of the second counter-selection was added to Blom7 </w:t>
      </w:r>
      <w:proofErr w:type="spellStart"/>
      <w:r w:rsidR="00A1105A">
        <w:rPr>
          <w:lang w:val="en-US"/>
        </w:rPr>
        <w:t>wt</w:t>
      </w:r>
      <w:proofErr w:type="spellEnd"/>
      <w:r w:rsidR="00A1105A">
        <w:rPr>
          <w:lang w:val="en-US"/>
        </w:rPr>
        <w:t xml:space="preserve"> </w:t>
      </w:r>
      <w:r>
        <w:rPr>
          <w:lang w:val="en-US"/>
        </w:rPr>
        <w:t xml:space="preserve">or Blom7-KH coupled beads and incubated for 45 min on ice. </w:t>
      </w:r>
    </w:p>
    <w:p w:rsidR="009A16C3" w:rsidRDefault="009A16C3" w:rsidP="0032292E">
      <w:pPr>
        <w:rPr>
          <w:lang w:val="en-US"/>
        </w:rPr>
      </w:pPr>
      <w:r>
        <w:rPr>
          <w:lang w:val="en-US"/>
        </w:rPr>
        <w:t>Beads of every selection round carrying protein-RNA complexes were washed with SELEX binding buffer, and bound RNA was eluted by addition of nuclease-free water</w:t>
      </w:r>
      <w:r w:rsidR="00A1105A">
        <w:rPr>
          <w:lang w:val="en-US"/>
        </w:rPr>
        <w:t xml:space="preserve"> and heating for 1 min to 75°C</w:t>
      </w:r>
      <w:r>
        <w:rPr>
          <w:lang w:val="en-US"/>
        </w:rPr>
        <w:t>. The amount of specifically bound RNA was quantified by measuring the absorbance at 260 nm. The eluted RNA was concentrated and finally re-suspended in 10 µl of nuclease-free water.</w:t>
      </w:r>
    </w:p>
    <w:p w:rsidR="009A16C3" w:rsidRDefault="009A16C3" w:rsidP="0032292E">
      <w:pPr>
        <w:rPr>
          <w:lang w:val="en-US"/>
        </w:rPr>
      </w:pPr>
      <w:r>
        <w:rPr>
          <w:lang w:val="en-US"/>
        </w:rPr>
        <w:t xml:space="preserve">Afterwards, RNA was reverse-transcribed prior to amplification by M-MLV reverse transcriptase, </w:t>
      </w:r>
      <w:proofErr w:type="spellStart"/>
      <w:r>
        <w:rPr>
          <w:lang w:val="en-US"/>
        </w:rPr>
        <w:t>RNase</w:t>
      </w:r>
      <w:proofErr w:type="spellEnd"/>
      <w:r>
        <w:rPr>
          <w:lang w:val="en-US"/>
        </w:rPr>
        <w:t xml:space="preserve"> H Minus, point mutant (</w:t>
      </w:r>
      <w:proofErr w:type="spellStart"/>
      <w:r>
        <w:rPr>
          <w:lang w:val="en-US"/>
        </w:rPr>
        <w:t>Promega</w:t>
      </w:r>
      <w:proofErr w:type="spellEnd"/>
      <w:r>
        <w:rPr>
          <w:lang w:val="en-US"/>
        </w:rPr>
        <w:t xml:space="preserve">). PCR-amplification of the </w:t>
      </w:r>
      <w:proofErr w:type="spellStart"/>
      <w:r>
        <w:rPr>
          <w:lang w:val="en-US"/>
        </w:rPr>
        <w:t>cDNA</w:t>
      </w:r>
      <w:proofErr w:type="spellEnd"/>
      <w:r>
        <w:rPr>
          <w:lang w:val="en-US"/>
        </w:rPr>
        <w:t xml:space="preserve"> candidates, and following rounds of selection were performed as before.</w:t>
      </w:r>
    </w:p>
    <w:p w:rsidR="009A16C3" w:rsidRDefault="009A16C3" w:rsidP="0032292E">
      <w:pPr>
        <w:rPr>
          <w:lang w:val="en-US"/>
        </w:rPr>
      </w:pPr>
    </w:p>
    <w:p w:rsidR="009A16C3" w:rsidRPr="00A055B9" w:rsidRDefault="009A16C3" w:rsidP="0032292E">
      <w:pPr>
        <w:rPr>
          <w:u w:val="single"/>
          <w:lang w:val="en-US"/>
        </w:rPr>
      </w:pPr>
      <w:r w:rsidRPr="00A055B9">
        <w:rPr>
          <w:u w:val="single"/>
          <w:lang w:val="en-US"/>
        </w:rPr>
        <w:t>Cloning of candidate RNAs</w:t>
      </w:r>
    </w:p>
    <w:p w:rsidR="009A16C3" w:rsidRDefault="009A16C3" w:rsidP="0032292E">
      <w:pPr>
        <w:rPr>
          <w:lang w:val="en-US"/>
        </w:rPr>
      </w:pPr>
      <w:r>
        <w:rPr>
          <w:lang w:val="en-US"/>
        </w:rPr>
        <w:t>For cloning of candidates the TOPO TA Cloning Kit (Invitrogen) was used. Amplification of the template DNA (2 µl) of selected candidates of the 8</w:t>
      </w:r>
      <w:r>
        <w:rPr>
          <w:vertAlign w:val="superscript"/>
          <w:lang w:val="en-US"/>
        </w:rPr>
        <w:t>th</w:t>
      </w:r>
      <w:r>
        <w:rPr>
          <w:lang w:val="en-US"/>
        </w:rPr>
        <w:t xml:space="preserve"> round of SELEX was performed by PCR</w:t>
      </w:r>
      <w:r>
        <w:rPr>
          <w:rFonts w:ascii="Helvetica" w:hAnsi="Helvetica" w:cs="Helvetica"/>
          <w:lang w:val="en-US"/>
        </w:rPr>
        <w:t xml:space="preserve"> using </w:t>
      </w:r>
      <w:proofErr w:type="spellStart"/>
      <w:r>
        <w:rPr>
          <w:rFonts w:ascii="Helvetica" w:hAnsi="Helvetica" w:cs="Helvetica"/>
          <w:lang w:val="en-US"/>
        </w:rPr>
        <w:t>AmpliTaq</w:t>
      </w:r>
      <w:proofErr w:type="spellEnd"/>
      <w:r>
        <w:rPr>
          <w:rFonts w:ascii="Helvetica" w:hAnsi="Helvetica" w:cs="Helvetica"/>
          <w:lang w:val="en-US"/>
        </w:rPr>
        <w:t xml:space="preserve"> Gold polymerase (</w:t>
      </w:r>
      <w:r w:rsidR="005774A8">
        <w:rPr>
          <w:rFonts w:ascii="Helvetica" w:hAnsi="Helvetica" w:cs="Helvetica"/>
          <w:lang w:val="en-US"/>
        </w:rPr>
        <w:t>Life Technologies</w:t>
      </w:r>
      <w:r>
        <w:rPr>
          <w:rFonts w:ascii="Helvetica" w:hAnsi="Helvetica" w:cs="Helvetica"/>
          <w:lang w:val="en-US"/>
        </w:rPr>
        <w:t xml:space="preserve">). After TOPO-cloning following the manufactures instructions, emerging bacterial colonies were used as templates for a subsequent PCR with primers and polymerase as described above. The PCR products were purified on </w:t>
      </w:r>
      <w:proofErr w:type="spellStart"/>
      <w:r>
        <w:rPr>
          <w:rFonts w:ascii="Helvetica" w:hAnsi="Helvetica" w:cs="Helvetica"/>
          <w:lang w:val="en-US"/>
        </w:rPr>
        <w:t>Sephacryl</w:t>
      </w:r>
      <w:proofErr w:type="spellEnd"/>
      <w:r>
        <w:rPr>
          <w:rFonts w:ascii="Helvetica" w:hAnsi="Helvetica" w:cs="Helvetica"/>
          <w:lang w:val="en-US"/>
        </w:rPr>
        <w:t xml:space="preserve"> S-300 (GE Healthcare) spin columns. 200 </w:t>
      </w:r>
      <w:proofErr w:type="spellStart"/>
      <w:r>
        <w:rPr>
          <w:rFonts w:ascii="Helvetica" w:hAnsi="Helvetica" w:cs="Helvetica"/>
          <w:lang w:val="en-US"/>
        </w:rPr>
        <w:t>ng</w:t>
      </w:r>
      <w:proofErr w:type="spellEnd"/>
      <w:r>
        <w:rPr>
          <w:rFonts w:ascii="Helvetica" w:hAnsi="Helvetica" w:cs="Helvetica"/>
          <w:lang w:val="en-US"/>
        </w:rPr>
        <w:t xml:space="preserve"> of purified PCR product was used for a subsequent PCR using ABI PRISM </w:t>
      </w:r>
      <w:proofErr w:type="spellStart"/>
      <w:r>
        <w:rPr>
          <w:rFonts w:ascii="Helvetica" w:hAnsi="Helvetica" w:cs="Helvetica"/>
          <w:lang w:val="en-US"/>
        </w:rPr>
        <w:t>BigDye</w:t>
      </w:r>
      <w:proofErr w:type="spellEnd"/>
      <w:r>
        <w:rPr>
          <w:rFonts w:ascii="Helvetica" w:hAnsi="Helvetica" w:cs="Helvetica"/>
          <w:lang w:val="en-US"/>
        </w:rPr>
        <w:t xml:space="preserve"> Terminator v1.1 Cycle </w:t>
      </w:r>
      <w:r>
        <w:rPr>
          <w:rFonts w:ascii="Helvetica" w:hAnsi="Helvetica" w:cs="Helvetica"/>
          <w:lang w:val="en-US"/>
        </w:rPr>
        <w:lastRenderedPageBreak/>
        <w:t>Sequencing Kit (</w:t>
      </w:r>
      <w:r w:rsidR="005774A8">
        <w:rPr>
          <w:rFonts w:ascii="Helvetica" w:hAnsi="Helvetica" w:cs="Helvetica"/>
          <w:lang w:val="en-US"/>
        </w:rPr>
        <w:t>Life Technologies</w:t>
      </w:r>
      <w:r>
        <w:rPr>
          <w:rFonts w:ascii="Helvetica" w:hAnsi="Helvetica" w:cs="Helvetica"/>
          <w:lang w:val="en-US"/>
        </w:rPr>
        <w:t>) and Sanger sequencing.</w:t>
      </w:r>
      <w:r>
        <w:rPr>
          <w:lang w:val="en-US"/>
        </w:rPr>
        <w:t xml:space="preserve"> Plasmids of 100 positive clones of each selection were sequenced. </w:t>
      </w:r>
    </w:p>
    <w:p w:rsidR="009A16C3" w:rsidRDefault="009A16C3" w:rsidP="0032292E">
      <w:pPr>
        <w:rPr>
          <w:lang w:val="en-US"/>
        </w:rPr>
      </w:pPr>
    </w:p>
    <w:p w:rsidR="009A16C3" w:rsidRPr="000F32E2" w:rsidRDefault="00B70F44" w:rsidP="0032292E">
      <w:pPr>
        <w:rPr>
          <w:u w:val="single"/>
          <w:lang w:val="en-US"/>
        </w:rPr>
      </w:pPr>
      <w:r>
        <w:rPr>
          <w:u w:val="single"/>
          <w:lang w:val="en-US"/>
        </w:rPr>
        <w:t>SPR</w:t>
      </w:r>
    </w:p>
    <w:p w:rsidR="009A16C3" w:rsidRDefault="009A16C3" w:rsidP="0032292E">
      <w:pPr>
        <w:rPr>
          <w:lang w:val="en-US"/>
        </w:rPr>
      </w:pPr>
      <w:r>
        <w:rPr>
          <w:lang w:val="en-US"/>
        </w:rPr>
        <w:t xml:space="preserve">SPR (surface </w:t>
      </w:r>
      <w:proofErr w:type="spellStart"/>
      <w:r>
        <w:rPr>
          <w:lang w:val="en-US"/>
        </w:rPr>
        <w:t>plasmon</w:t>
      </w:r>
      <w:proofErr w:type="spellEnd"/>
      <w:r>
        <w:rPr>
          <w:lang w:val="en-US"/>
        </w:rPr>
        <w:t xml:space="preserve"> resonance) experiments were performed using the </w:t>
      </w:r>
      <w:proofErr w:type="spellStart"/>
      <w:r>
        <w:rPr>
          <w:lang w:val="en-US"/>
        </w:rPr>
        <w:t>BIAcore</w:t>
      </w:r>
      <w:proofErr w:type="spellEnd"/>
      <w:r>
        <w:rPr>
          <w:lang w:val="en-US"/>
        </w:rPr>
        <w:t xml:space="preserve"> 3000 (GE Healthcare) system and Sensor Chip CM5 (GE Healthcare). All runs were performed at 23°C.</w:t>
      </w:r>
    </w:p>
    <w:p w:rsidR="009A16C3" w:rsidRDefault="009A16C3" w:rsidP="0032292E">
      <w:pPr>
        <w:rPr>
          <w:lang w:val="en-US"/>
        </w:rPr>
      </w:pPr>
      <w:r>
        <w:rPr>
          <w:lang w:val="en-US"/>
        </w:rPr>
        <w:t xml:space="preserve">After equilibration with HEPES buffer (10 </w:t>
      </w:r>
      <w:proofErr w:type="spellStart"/>
      <w:r>
        <w:rPr>
          <w:lang w:val="en-US"/>
        </w:rPr>
        <w:t>mM</w:t>
      </w:r>
      <w:proofErr w:type="spellEnd"/>
      <w:r>
        <w:rPr>
          <w:lang w:val="en-US"/>
        </w:rPr>
        <w:t xml:space="preserve"> HEPES, 150 </w:t>
      </w:r>
      <w:proofErr w:type="spellStart"/>
      <w:r>
        <w:rPr>
          <w:lang w:val="en-US"/>
        </w:rPr>
        <w:t>mM</w:t>
      </w:r>
      <w:proofErr w:type="spellEnd"/>
      <w:r>
        <w:rPr>
          <w:lang w:val="en-US"/>
        </w:rPr>
        <w:t xml:space="preserve"> </w:t>
      </w:r>
      <w:proofErr w:type="spellStart"/>
      <w:r>
        <w:rPr>
          <w:lang w:val="en-US"/>
        </w:rPr>
        <w:t>NaCl</w:t>
      </w:r>
      <w:proofErr w:type="spellEnd"/>
      <w:r>
        <w:rPr>
          <w:lang w:val="en-US"/>
        </w:rPr>
        <w:t xml:space="preserve">, 50 µM EDTA, 0.005% P20, pH 7.4), the chip surface was activated by applying a mixture of N-ethyl-N'-(3-dimethyl </w:t>
      </w:r>
      <w:proofErr w:type="spellStart"/>
      <w:r>
        <w:rPr>
          <w:lang w:val="en-US"/>
        </w:rPr>
        <w:t>aminopropyl</w:t>
      </w:r>
      <w:proofErr w:type="spellEnd"/>
      <w:r>
        <w:rPr>
          <w:lang w:val="en-US"/>
        </w:rPr>
        <w:t>)-</w:t>
      </w:r>
      <w:proofErr w:type="spellStart"/>
      <w:r>
        <w:rPr>
          <w:lang w:val="en-US"/>
        </w:rPr>
        <w:t>carbodiimide</w:t>
      </w:r>
      <w:proofErr w:type="spellEnd"/>
      <w:r>
        <w:rPr>
          <w:lang w:val="en-US"/>
        </w:rPr>
        <w:t xml:space="preserve"> hydrochloride (EDC) and N-</w:t>
      </w:r>
      <w:proofErr w:type="spellStart"/>
      <w:r>
        <w:rPr>
          <w:lang w:val="en-US"/>
        </w:rPr>
        <w:t>hydroxysuccinimide</w:t>
      </w:r>
      <w:proofErr w:type="spellEnd"/>
      <w:r>
        <w:rPr>
          <w:lang w:val="en-US"/>
        </w:rPr>
        <w:t xml:space="preserve"> (NHS) at a flow rate 5 µl/min with an injected volume of 35 µl.</w:t>
      </w:r>
    </w:p>
    <w:p w:rsidR="009A16C3" w:rsidRDefault="009A16C3" w:rsidP="0032292E">
      <w:pPr>
        <w:rPr>
          <w:lang w:val="en-US"/>
        </w:rPr>
      </w:pPr>
      <w:r>
        <w:rPr>
          <w:lang w:val="en-US"/>
        </w:rPr>
        <w:t>Proteins were diluted to a conce</w:t>
      </w:r>
      <w:r w:rsidR="00C31D39">
        <w:rPr>
          <w:lang w:val="en-US"/>
        </w:rPr>
        <w:t xml:space="preserve">ntration of 500 </w:t>
      </w:r>
      <w:proofErr w:type="spellStart"/>
      <w:r w:rsidR="00C31D39">
        <w:rPr>
          <w:lang w:val="en-US"/>
        </w:rPr>
        <w:t>nM</w:t>
      </w:r>
      <w:proofErr w:type="spellEnd"/>
      <w:r w:rsidR="00C31D39">
        <w:rPr>
          <w:lang w:val="en-US"/>
        </w:rPr>
        <w:t xml:space="preserve"> in 10 </w:t>
      </w:r>
      <w:proofErr w:type="spellStart"/>
      <w:r w:rsidR="00C31D39">
        <w:rPr>
          <w:lang w:val="en-US"/>
        </w:rPr>
        <w:t>mM</w:t>
      </w:r>
      <w:proofErr w:type="spellEnd"/>
      <w:r w:rsidR="00C31D39">
        <w:rPr>
          <w:lang w:val="en-US"/>
        </w:rPr>
        <w:t xml:space="preserve"> sodium acetate</w:t>
      </w:r>
      <w:r>
        <w:rPr>
          <w:lang w:val="en-US"/>
        </w:rPr>
        <w:t xml:space="preserve">, pH 5.0. After immobilization of proteins (flow rate 5 µl/min, injected volume 30 µl), ethanolamine was injected (flow rate 5 µl/min, injected volume 35 µl), the system washed with HEPES buffer, and primed with SELEX binding buffer or HEPES buffer containing 3 </w:t>
      </w:r>
      <w:proofErr w:type="spellStart"/>
      <w:r>
        <w:rPr>
          <w:lang w:val="en-US"/>
        </w:rPr>
        <w:t>mM</w:t>
      </w:r>
      <w:proofErr w:type="spellEnd"/>
      <w:r>
        <w:rPr>
          <w:lang w:val="en-US"/>
        </w:rPr>
        <w:t xml:space="preserve"> </w:t>
      </w:r>
      <w:proofErr w:type="spellStart"/>
      <w:r>
        <w:rPr>
          <w:lang w:val="en-US"/>
        </w:rPr>
        <w:t>MgAc</w:t>
      </w:r>
      <w:proofErr w:type="spellEnd"/>
      <w:r>
        <w:rPr>
          <w:lang w:val="en-US"/>
        </w:rPr>
        <w:t xml:space="preserve">. RNAs were denatured, diluted (0.68 – 2 µM) in SELEX binding buffer and injected (flow rate 10 µl/min, injected volume 100 µl). Unspecific binding was considered by subtracting blank runs on a surface not loaded with protein and on a surface loaded with a non RNA-binding control protein. The association and dissociation rates were monitored for 600 s each. Regeneration of the chip surface was performed using 10 </w:t>
      </w:r>
      <w:proofErr w:type="spellStart"/>
      <w:r>
        <w:rPr>
          <w:lang w:val="en-US"/>
        </w:rPr>
        <w:t>mM</w:t>
      </w:r>
      <w:proofErr w:type="spellEnd"/>
      <w:r>
        <w:rPr>
          <w:lang w:val="en-US"/>
        </w:rPr>
        <w:t xml:space="preserve"> </w:t>
      </w:r>
      <w:proofErr w:type="spellStart"/>
      <w:r>
        <w:rPr>
          <w:lang w:val="en-US"/>
        </w:rPr>
        <w:t>NaOH</w:t>
      </w:r>
      <w:proofErr w:type="spellEnd"/>
      <w:r>
        <w:rPr>
          <w:lang w:val="en-US"/>
        </w:rPr>
        <w:t>.</w:t>
      </w:r>
    </w:p>
    <w:p w:rsidR="0032292E" w:rsidRDefault="0032292E" w:rsidP="00621246">
      <w:pPr>
        <w:suppressAutoHyphens w:val="0"/>
        <w:spacing w:after="0"/>
        <w:rPr>
          <w:lang w:val="en-US"/>
        </w:rPr>
      </w:pPr>
      <w:r>
        <w:rPr>
          <w:lang w:val="en-US"/>
        </w:rPr>
        <w:t>Immobilization of His</w:t>
      </w:r>
      <w:r w:rsidRPr="0032292E">
        <w:rPr>
          <w:lang w:val="en-US"/>
        </w:rPr>
        <w:t>6</w:t>
      </w:r>
      <w:r>
        <w:rPr>
          <w:lang w:val="en-US"/>
        </w:rPr>
        <w:t xml:space="preserve">-tagged proteins on CM5 sensor chips was monitored by an increase of response units (RU). We observed that, Blom7α </w:t>
      </w:r>
      <w:proofErr w:type="spellStart"/>
      <w:r>
        <w:rPr>
          <w:lang w:val="en-US"/>
        </w:rPr>
        <w:t>wt</w:t>
      </w:r>
      <w:proofErr w:type="spellEnd"/>
      <w:r>
        <w:rPr>
          <w:lang w:val="en-US"/>
        </w:rPr>
        <w:t xml:space="preserve"> showed 5600 RU, streptavidin 3600 RU (as negative control for subtracting unspecific background) and Blom7-KH 3600 RU. As the RU-response is dependent not only on concentration of immobilized agent, but also on the molecular weight, the higher immobilization level of Blom7α was consistent with the higher molecular weight of Blom7α </w:t>
      </w:r>
      <w:proofErr w:type="spellStart"/>
      <w:r>
        <w:rPr>
          <w:lang w:val="en-US"/>
        </w:rPr>
        <w:t>wt</w:t>
      </w:r>
      <w:proofErr w:type="spellEnd"/>
      <w:r>
        <w:rPr>
          <w:lang w:val="en-US"/>
        </w:rPr>
        <w:t xml:space="preserve"> (</w:t>
      </w:r>
      <w:proofErr w:type="gramStart"/>
      <w:r>
        <w:rPr>
          <w:lang w:val="en-US"/>
        </w:rPr>
        <w:t>1.5x</w:t>
      </w:r>
      <w:proofErr w:type="gramEnd"/>
      <w:r>
        <w:rPr>
          <w:lang w:val="en-US"/>
        </w:rPr>
        <w:t>), compared to Blom7-KH and compared to streptavidin (</w:t>
      </w:r>
      <w:proofErr w:type="spellStart"/>
      <w:r>
        <w:rPr>
          <w:lang w:val="en-US"/>
        </w:rPr>
        <w:t>tetrameric</w:t>
      </w:r>
      <w:proofErr w:type="spellEnd"/>
      <w:r>
        <w:rPr>
          <w:lang w:val="en-US"/>
        </w:rPr>
        <w:t xml:space="preserve"> protein, 4x 13 </w:t>
      </w:r>
      <w:proofErr w:type="spellStart"/>
      <w:r>
        <w:rPr>
          <w:lang w:val="en-US"/>
        </w:rPr>
        <w:t>kD</w:t>
      </w:r>
      <w:proofErr w:type="spellEnd"/>
      <w:r>
        <w:rPr>
          <w:lang w:val="en-US"/>
        </w:rPr>
        <w:t>).</w:t>
      </w:r>
    </w:p>
    <w:sectPr w:rsidR="003229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C3"/>
    <w:rsid w:val="0032292E"/>
    <w:rsid w:val="004027BD"/>
    <w:rsid w:val="005774A8"/>
    <w:rsid w:val="00621246"/>
    <w:rsid w:val="009A16C3"/>
    <w:rsid w:val="00A1105A"/>
    <w:rsid w:val="00B63B0A"/>
    <w:rsid w:val="00B70F44"/>
    <w:rsid w:val="00C31D39"/>
    <w:rsid w:val="00F01A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16C3"/>
    <w:pPr>
      <w:suppressAutoHyphens/>
      <w:spacing w:after="120" w:line="480" w:lineRule="auto"/>
    </w:pPr>
    <w:rPr>
      <w:rFonts w:ascii="Arial" w:eastAsia="Times New Roman" w:hAnsi="Arial" w:cs="Arial"/>
      <w:szCs w:val="24"/>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ommentReference1">
    <w:name w:val="Comment Reference1"/>
    <w:uiPriority w:val="99"/>
    <w:rsid w:val="009A16C3"/>
    <w:rPr>
      <w:sz w:val="16"/>
    </w:rPr>
  </w:style>
  <w:style w:type="paragraph" w:styleId="Kommentartext">
    <w:name w:val="annotation text"/>
    <w:basedOn w:val="Standard"/>
    <w:link w:val="KommentartextZchn"/>
    <w:uiPriority w:val="99"/>
    <w:semiHidden/>
    <w:unhideWhenUsed/>
    <w:rsid w:val="003229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2292E"/>
    <w:rPr>
      <w:rFonts w:ascii="Arial" w:eastAsia="Times New Roman" w:hAnsi="Arial" w:cs="Arial"/>
      <w:sz w:val="20"/>
      <w:szCs w:val="20"/>
      <w:lang w:val="en-GB" w:eastAsia="ar-SA"/>
    </w:rPr>
  </w:style>
  <w:style w:type="character" w:styleId="Kommentarzeichen">
    <w:name w:val="annotation reference"/>
    <w:uiPriority w:val="99"/>
    <w:semiHidden/>
    <w:unhideWhenUsed/>
    <w:rsid w:val="0032292E"/>
    <w:rPr>
      <w:rFonts w:ascii="Times New Roman" w:hAnsi="Times New Roman" w:cs="Times New Roman" w:hint="default"/>
      <w:sz w:val="16"/>
    </w:rPr>
  </w:style>
  <w:style w:type="paragraph" w:styleId="Sprechblasentext">
    <w:name w:val="Balloon Text"/>
    <w:basedOn w:val="Standard"/>
    <w:link w:val="SprechblasentextZchn"/>
    <w:uiPriority w:val="99"/>
    <w:semiHidden/>
    <w:unhideWhenUsed/>
    <w:rsid w:val="003229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292E"/>
    <w:rPr>
      <w:rFonts w:ascii="Tahoma" w:eastAsia="Times New Roman" w:hAnsi="Tahoma" w:cs="Tahoma"/>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16C3"/>
    <w:pPr>
      <w:suppressAutoHyphens/>
      <w:spacing w:after="120" w:line="480" w:lineRule="auto"/>
    </w:pPr>
    <w:rPr>
      <w:rFonts w:ascii="Arial" w:eastAsia="Times New Roman" w:hAnsi="Arial" w:cs="Arial"/>
      <w:szCs w:val="24"/>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ommentReference1">
    <w:name w:val="Comment Reference1"/>
    <w:uiPriority w:val="99"/>
    <w:rsid w:val="009A16C3"/>
    <w:rPr>
      <w:sz w:val="16"/>
    </w:rPr>
  </w:style>
  <w:style w:type="paragraph" w:styleId="Kommentartext">
    <w:name w:val="annotation text"/>
    <w:basedOn w:val="Standard"/>
    <w:link w:val="KommentartextZchn"/>
    <w:uiPriority w:val="99"/>
    <w:semiHidden/>
    <w:unhideWhenUsed/>
    <w:rsid w:val="003229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2292E"/>
    <w:rPr>
      <w:rFonts w:ascii="Arial" w:eastAsia="Times New Roman" w:hAnsi="Arial" w:cs="Arial"/>
      <w:sz w:val="20"/>
      <w:szCs w:val="20"/>
      <w:lang w:val="en-GB" w:eastAsia="ar-SA"/>
    </w:rPr>
  </w:style>
  <w:style w:type="character" w:styleId="Kommentarzeichen">
    <w:name w:val="annotation reference"/>
    <w:uiPriority w:val="99"/>
    <w:semiHidden/>
    <w:unhideWhenUsed/>
    <w:rsid w:val="0032292E"/>
    <w:rPr>
      <w:rFonts w:ascii="Times New Roman" w:hAnsi="Times New Roman" w:cs="Times New Roman" w:hint="default"/>
      <w:sz w:val="16"/>
    </w:rPr>
  </w:style>
  <w:style w:type="paragraph" w:styleId="Sprechblasentext">
    <w:name w:val="Balloon Text"/>
    <w:basedOn w:val="Standard"/>
    <w:link w:val="SprechblasentextZchn"/>
    <w:uiPriority w:val="99"/>
    <w:semiHidden/>
    <w:unhideWhenUsed/>
    <w:rsid w:val="003229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292E"/>
    <w:rPr>
      <w:rFonts w:ascii="Tahoma" w:eastAsia="Times New Roma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62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5049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Schosserer</dc:creator>
  <cp:lastModifiedBy>Markus Schosserer</cp:lastModifiedBy>
  <cp:revision>4</cp:revision>
  <dcterms:created xsi:type="dcterms:W3CDTF">2012-10-03T07:52:00Z</dcterms:created>
  <dcterms:modified xsi:type="dcterms:W3CDTF">2012-10-03T08:01:00Z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Name 0_1">
    <vt:lpwstr>American Political Science Association</vt:lpwstr>
  </property>
  <property fmtid="{D5CDD505-2E9C-101B-9397-08002B2CF9AE}" pid="3" name="Mendeley Recent Style Id 0_1">
    <vt:lpwstr>http://www.zotero.org/styles/apsa</vt:lpwstr>
  </property>
  <property fmtid="{D5CDD505-2E9C-101B-9397-08002B2CF9AE}" pid="4" name="Mendeley Recent Style Name 1_1">
    <vt:lpwstr>American Psychological Association 6th Edition</vt:lpwstr>
  </property>
  <property fmtid="{D5CDD505-2E9C-101B-9397-08002B2CF9AE}" pid="5" name="Mendeley Recent Style Id 1_1">
    <vt:lpwstr>http://www.zotero.org/styles/apa</vt:lpwstr>
  </property>
  <property fmtid="{D5CDD505-2E9C-101B-9397-08002B2CF9AE}" pid="6" name="Mendeley Recent Style Name 2_1">
    <vt:lpwstr>American Sociological Association</vt:lpwstr>
  </property>
  <property fmtid="{D5CDD505-2E9C-101B-9397-08002B2CF9AE}" pid="7" name="Mendeley Recent Style Id 2_1">
    <vt:lpwstr>http://www.zotero.org/styles/asa</vt:lpwstr>
  </property>
  <property fmtid="{D5CDD505-2E9C-101B-9397-08002B2CF9AE}" pid="8" name="Mendeley Recent Style Name 3_1">
    <vt:lpwstr>Biochemical and Biophysical Research Communications</vt:lpwstr>
  </property>
  <property fmtid="{D5CDD505-2E9C-101B-9397-08002B2CF9AE}" pid="9" name="Mendeley Recent Style Id 3_1">
    <vt:lpwstr>http://www.zotero.org/styles/biochemical-and-biophysical-research-communications</vt:lpwstr>
  </property>
  <property fmtid="{D5CDD505-2E9C-101B-9397-08002B2CF9AE}" pid="10" name="Mendeley Recent Style Name 4_1">
    <vt:lpwstr>Chicago Manual of Style (Author-Date format)</vt:lpwstr>
  </property>
  <property fmtid="{D5CDD505-2E9C-101B-9397-08002B2CF9AE}" pid="11" name="Mendeley Recent Style Id 4_1">
    <vt:lpwstr>http://www.zotero.org/styles/chicago-author-date</vt:lpwstr>
  </property>
  <property fmtid="{D5CDD505-2E9C-101B-9397-08002B2CF9AE}" pid="12" name="Mendeley Recent Style Name 5_1">
    <vt:lpwstr>Harvard Reference format 1 (Author-Date)</vt:lpwstr>
  </property>
  <property fmtid="{D5CDD505-2E9C-101B-9397-08002B2CF9AE}" pid="13" name="Mendeley Recent Style Id 5_1">
    <vt:lpwstr>http://www.zotero.org/styles/harvard1</vt:lpwstr>
  </property>
  <property fmtid="{D5CDD505-2E9C-101B-9397-08002B2CF9AE}" pid="14" name="Mendeley Recent Style Name 6_1">
    <vt:lpwstr>IEEE</vt:lpwstr>
  </property>
  <property fmtid="{D5CDD505-2E9C-101B-9397-08002B2CF9AE}" pid="15" name="Mendeley Recent Style Id 6_1">
    <vt:lpwstr>http://www.zotero.org/styles/ieee</vt:lpwstr>
  </property>
  <property fmtid="{D5CDD505-2E9C-101B-9397-08002B2CF9AE}" pid="16" name="Mendeley Recent Style Name 7_1">
    <vt:lpwstr>Modern Humanities Research Association (Note with Bibliography)</vt:lpwstr>
  </property>
  <property fmtid="{D5CDD505-2E9C-101B-9397-08002B2CF9AE}" pid="17" name="Mendeley Recent Style Id 7_1">
    <vt:lpwstr>http://www.zotero.org/styles/mhra</vt:lpwstr>
  </property>
  <property fmtid="{D5CDD505-2E9C-101B-9397-08002B2CF9AE}" pid="18" name="Mendeley Recent Style Name 8_1">
    <vt:lpwstr>Modern Language Association</vt:lpwstr>
  </property>
  <property fmtid="{D5CDD505-2E9C-101B-9397-08002B2CF9AE}" pid="19" name="Mendeley Recent Style Id 8_1">
    <vt:lpwstr>http://www.zotero.org/styles/mla</vt:lpwstr>
  </property>
  <property fmtid="{D5CDD505-2E9C-101B-9397-08002B2CF9AE}" pid="20" name="Mendeley Recent Style Name 9_1">
    <vt:lpwstr>Nature Journal</vt:lpwstr>
  </property>
  <property fmtid="{D5CDD505-2E9C-101B-9397-08002B2CF9AE}" pid="21" name="Mendeley Recent Style Id 9_1">
    <vt:lpwstr>http://www.zotero.org/styles/nature</vt:lpwstr>
  </property>
  <property fmtid="{D5CDD505-2E9C-101B-9397-08002B2CF9AE}" pid="22" name="Mendeley Citation Style_1">
    <vt:lpwstr>http://www.zotero.org/styles/apa</vt:lpwstr>
  </property>
</Properties>
</file>