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12" w:rsidRPr="002B21DC" w:rsidRDefault="00466F12" w:rsidP="00466F12">
      <w:pPr>
        <w:pStyle w:val="SOMHeading"/>
        <w:jc w:val="both"/>
      </w:pPr>
      <w:r w:rsidRPr="002B21DC">
        <w:t xml:space="preserve">Table </w:t>
      </w:r>
      <w:r>
        <w:t>S1</w:t>
      </w:r>
      <w:r w:rsidRPr="002B21DC">
        <w:t xml:space="preserve">. Fatty acid composition of the experimental diets </w:t>
      </w:r>
    </w:p>
    <w:p w:rsidR="00466F12" w:rsidRPr="002B21DC" w:rsidRDefault="00466F12" w:rsidP="00466F12">
      <w:pPr>
        <w:pStyle w:val="SOMcaption"/>
        <w:jc w:val="both"/>
      </w:pPr>
    </w:p>
    <w:tbl>
      <w:tblPr>
        <w:tblW w:w="0" w:type="auto"/>
        <w:tblInd w:w="2" w:type="dxa"/>
        <w:tblCellMar>
          <w:left w:w="57" w:type="dxa"/>
          <w:right w:w="57" w:type="dxa"/>
        </w:tblCellMar>
        <w:tblLook w:val="01E0"/>
      </w:tblPr>
      <w:tblGrid>
        <w:gridCol w:w="1634"/>
        <w:gridCol w:w="794"/>
        <w:gridCol w:w="794"/>
        <w:gridCol w:w="794"/>
        <w:gridCol w:w="794"/>
      </w:tblGrid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Diets</w:t>
            </w:r>
            <w:r w:rsidRPr="002B21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M1</w:t>
            </w:r>
            <w:r w:rsidRPr="002B21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M2</w:t>
            </w:r>
            <w:r w:rsidRPr="002B21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PB1</w:t>
            </w:r>
            <w:r w:rsidRPr="002B21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PB2</w:t>
            </w:r>
            <w:r w:rsidRPr="002B21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10 : 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1.87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14 : 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8.15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8.14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0.30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0.21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15 : 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0.49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0.44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0.03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16 : 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16.71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16.20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14.18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12.71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17 : 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0.40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0.15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18 : 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2.32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2.76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2.53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2.63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20 : 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0.30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0.34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16 : 1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8.23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7.75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0.26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0.16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18 : 1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11.55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10.52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37.88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38.69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20 : 1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3.60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1.71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0.66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0.67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22 : 1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2.33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0.24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16 : 2</w:t>
            </w:r>
            <w:r w:rsidRPr="002B21D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2B21DC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1.37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16 : 3</w:t>
            </w:r>
            <w:r w:rsidRPr="002B21D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2B21DC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1.53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2.08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0.05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16 : 4</w:t>
            </w:r>
            <w:r w:rsidRPr="002B21D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2B21DC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2.07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3.43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18 : 2</w:t>
            </w:r>
            <w:r w:rsidRPr="002B21D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2B21DC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2.54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1.67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22.72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21.67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20 : 4</w:t>
            </w:r>
            <w:r w:rsidRPr="002B21D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2B21DC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0.74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0.82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22 : 2</w:t>
            </w:r>
            <w:r w:rsidRPr="002B21D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2B21DC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0.33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0.22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18 : 3</w:t>
            </w:r>
            <w:r w:rsidRPr="002B21D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2B21DC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0.96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0.79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17.87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20.13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18 : 4</w:t>
            </w:r>
            <w:r w:rsidRPr="002B21D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2B21DC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2.65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20 : 4</w:t>
            </w:r>
            <w:r w:rsidRPr="002B21D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2B21DC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0.61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0.64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20 : 5</w:t>
            </w:r>
            <w:r w:rsidRPr="002B21D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2B21DC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12.88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16.38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21 : 5</w:t>
            </w:r>
            <w:r w:rsidRPr="002B21D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2B21DC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0.53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22 : 5</w:t>
            </w:r>
            <w:r w:rsidRPr="002B21D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2B21DC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1.35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1.74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22 : 6</w:t>
            </w:r>
            <w:r w:rsidRPr="002B21D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2B21DC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9.34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66F12" w:rsidRPr="002B21DC" w:rsidTr="00F1435C">
        <w:tc>
          <w:tcPr>
            <w:tcW w:w="1634" w:type="dxa"/>
            <w:vAlign w:val="center"/>
          </w:tcPr>
          <w:p w:rsidR="00466F12" w:rsidRPr="002B21DC" w:rsidRDefault="00466F12" w:rsidP="00F14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21DC">
              <w:rPr>
                <w:color w:val="000000"/>
                <w:sz w:val="20"/>
                <w:szCs w:val="20"/>
              </w:rPr>
              <w:t>Sum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28.42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32.99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794" w:type="dxa"/>
            <w:vAlign w:val="center"/>
          </w:tcPr>
          <w:p w:rsidR="00466F12" w:rsidRPr="002B21DC" w:rsidRDefault="00466F12" w:rsidP="00F1435C">
            <w:pPr>
              <w:pStyle w:val="RIC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21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20.13</w:t>
            </w:r>
          </w:p>
        </w:tc>
      </w:tr>
    </w:tbl>
    <w:p w:rsidR="00466F12" w:rsidRPr="002B21DC" w:rsidRDefault="00466F12" w:rsidP="00466F12">
      <w:pPr>
        <w:pStyle w:val="SOMcaption"/>
        <w:jc w:val="both"/>
        <w:rPr>
          <w:color w:val="000000"/>
          <w:sz w:val="20"/>
          <w:szCs w:val="20"/>
        </w:rPr>
      </w:pPr>
    </w:p>
    <w:p w:rsidR="00466F12" w:rsidRPr="002B21DC" w:rsidRDefault="00466F12" w:rsidP="00466F12">
      <w:pPr>
        <w:pStyle w:val="SOMcaption"/>
        <w:jc w:val="both"/>
        <w:rPr>
          <w:sz w:val="20"/>
          <w:szCs w:val="20"/>
        </w:rPr>
      </w:pPr>
      <w:r w:rsidRPr="002B21DC">
        <w:rPr>
          <w:color w:val="000000"/>
          <w:sz w:val="20"/>
          <w:szCs w:val="20"/>
          <w:vertAlign w:val="superscript"/>
        </w:rPr>
        <w:t>1</w:t>
      </w:r>
      <w:r w:rsidRPr="002B21DC">
        <w:rPr>
          <w:sz w:val="20"/>
          <w:szCs w:val="20"/>
        </w:rPr>
        <w:t xml:space="preserve"> Composition given in g/100 g of total fatty acid</w:t>
      </w:r>
    </w:p>
    <w:p w:rsidR="00466F12" w:rsidRPr="002B21DC" w:rsidRDefault="00466F12" w:rsidP="00466F12">
      <w:pPr>
        <w:pStyle w:val="SOMcaption"/>
        <w:jc w:val="both"/>
        <w:rPr>
          <w:sz w:val="20"/>
          <w:szCs w:val="20"/>
        </w:rPr>
      </w:pPr>
      <w:r w:rsidRPr="002B21DC">
        <w:rPr>
          <w:sz w:val="20"/>
          <w:szCs w:val="20"/>
          <w:vertAlign w:val="superscript"/>
        </w:rPr>
        <w:t>2</w:t>
      </w:r>
      <w:r w:rsidRPr="002B21DC">
        <w:rPr>
          <w:sz w:val="20"/>
          <w:szCs w:val="20"/>
        </w:rPr>
        <w:t xml:space="preserve"> M1 diet was given from first feeding to 236 </w:t>
      </w:r>
      <w:proofErr w:type="spellStart"/>
      <w:r w:rsidRPr="002B21DC">
        <w:rPr>
          <w:sz w:val="20"/>
          <w:szCs w:val="20"/>
        </w:rPr>
        <w:t>dpf</w:t>
      </w:r>
      <w:proofErr w:type="spellEnd"/>
      <w:r w:rsidRPr="002B21DC">
        <w:rPr>
          <w:sz w:val="20"/>
          <w:szCs w:val="20"/>
        </w:rPr>
        <w:t xml:space="preserve"> and M2 from 236 </w:t>
      </w:r>
      <w:proofErr w:type="spellStart"/>
      <w:r w:rsidRPr="002B21DC">
        <w:rPr>
          <w:sz w:val="20"/>
          <w:szCs w:val="20"/>
        </w:rPr>
        <w:t>dpf</w:t>
      </w:r>
      <w:proofErr w:type="spellEnd"/>
      <w:r w:rsidRPr="002B21DC">
        <w:rPr>
          <w:sz w:val="20"/>
          <w:szCs w:val="20"/>
        </w:rPr>
        <w:t xml:space="preserve"> until the end of the trial to adapt protein and lipid content to the nutritional requirements of larger fish.</w:t>
      </w:r>
    </w:p>
    <w:p w:rsidR="00466F12" w:rsidRPr="002B21DC" w:rsidRDefault="00466F12" w:rsidP="00466F12">
      <w:pPr>
        <w:pStyle w:val="SOMcaption"/>
        <w:jc w:val="both"/>
        <w:rPr>
          <w:sz w:val="20"/>
          <w:szCs w:val="20"/>
        </w:rPr>
      </w:pPr>
      <w:r w:rsidRPr="002B21DC">
        <w:rPr>
          <w:sz w:val="20"/>
          <w:szCs w:val="20"/>
          <w:vertAlign w:val="superscript"/>
        </w:rPr>
        <w:t>3</w:t>
      </w:r>
      <w:r w:rsidRPr="002B21DC">
        <w:rPr>
          <w:sz w:val="20"/>
          <w:szCs w:val="20"/>
        </w:rPr>
        <w:t xml:space="preserve"> PB1 diet was given from first feeding to 280 </w:t>
      </w:r>
      <w:proofErr w:type="spellStart"/>
      <w:r w:rsidRPr="002B21DC">
        <w:rPr>
          <w:sz w:val="20"/>
          <w:szCs w:val="20"/>
        </w:rPr>
        <w:t>dpf</w:t>
      </w:r>
      <w:proofErr w:type="spellEnd"/>
      <w:r w:rsidRPr="002B21DC">
        <w:rPr>
          <w:sz w:val="20"/>
          <w:szCs w:val="20"/>
        </w:rPr>
        <w:t xml:space="preserve"> and PB2 from 280 </w:t>
      </w:r>
      <w:proofErr w:type="spellStart"/>
      <w:r w:rsidRPr="002B21DC">
        <w:rPr>
          <w:sz w:val="20"/>
          <w:szCs w:val="20"/>
        </w:rPr>
        <w:t>dpf</w:t>
      </w:r>
      <w:proofErr w:type="spellEnd"/>
      <w:r w:rsidRPr="002B21DC">
        <w:rPr>
          <w:sz w:val="20"/>
          <w:szCs w:val="20"/>
        </w:rPr>
        <w:t xml:space="preserve"> until the end of the trial to adapt protein and lipid content to the nutritional requirements of larger fish.</w:t>
      </w:r>
    </w:p>
    <w:p w:rsidR="00466F12" w:rsidRPr="002B21DC" w:rsidRDefault="00466F12" w:rsidP="00466F12">
      <w:pPr>
        <w:pStyle w:val="Lgende"/>
        <w:rPr>
          <w:sz w:val="24"/>
          <w:lang w:val="en-US"/>
        </w:rPr>
      </w:pPr>
    </w:p>
    <w:p w:rsidR="00466F12" w:rsidRPr="002B21DC" w:rsidRDefault="00466F12" w:rsidP="00466F12"/>
    <w:p w:rsidR="00466F12" w:rsidRPr="002B21DC" w:rsidRDefault="00466F12" w:rsidP="00466F12"/>
    <w:p w:rsidR="00F360B2" w:rsidRDefault="00D3156A"/>
    <w:sectPr w:rsidR="00F360B2" w:rsidSect="007B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6F12"/>
    <w:rsid w:val="00222501"/>
    <w:rsid w:val="00466F12"/>
    <w:rsid w:val="007B39F1"/>
    <w:rsid w:val="00D3156A"/>
    <w:rsid w:val="00DA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66F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MHeading">
    <w:name w:val="SOM Heading"/>
    <w:basedOn w:val="Titre1"/>
    <w:uiPriority w:val="99"/>
    <w:rsid w:val="00466F12"/>
    <w:pPr>
      <w:keepLines w:val="0"/>
      <w:spacing w:before="240" w:after="60"/>
    </w:pPr>
    <w:rPr>
      <w:rFonts w:ascii="Times New Roman" w:eastAsia="Calibri" w:hAnsi="Times New Roman" w:cs="Times New Roman"/>
      <w:color w:val="auto"/>
      <w:kern w:val="32"/>
      <w:sz w:val="24"/>
      <w:szCs w:val="24"/>
      <w:lang/>
    </w:rPr>
  </w:style>
  <w:style w:type="paragraph" w:customStyle="1" w:styleId="SOMcaption">
    <w:name w:val="SOM caption"/>
    <w:basedOn w:val="Normal"/>
    <w:uiPriority w:val="99"/>
    <w:rsid w:val="00466F12"/>
  </w:style>
  <w:style w:type="paragraph" w:customStyle="1" w:styleId="RICH">
    <w:name w:val="RICH"/>
    <w:basedOn w:val="Corpsdetexte"/>
    <w:uiPriority w:val="99"/>
    <w:rsid w:val="00466F12"/>
    <w:pPr>
      <w:spacing w:after="0" w:line="276" w:lineRule="auto"/>
      <w:jc w:val="both"/>
    </w:pPr>
    <w:rPr>
      <w:rFonts w:ascii="Calibri" w:eastAsia="Calibri" w:hAnsi="Calibri" w:cs="Calibri"/>
      <w:sz w:val="22"/>
      <w:szCs w:val="22"/>
      <w:lang w:val="en-GB"/>
    </w:rPr>
  </w:style>
  <w:style w:type="paragraph" w:styleId="Lgende">
    <w:name w:val="caption"/>
    <w:basedOn w:val="Normal"/>
    <w:next w:val="Normal"/>
    <w:uiPriority w:val="35"/>
    <w:qFormat/>
    <w:rsid w:val="00466F12"/>
    <w:pPr>
      <w:spacing w:after="120"/>
      <w:jc w:val="both"/>
    </w:pPr>
    <w:rPr>
      <w:rFonts w:eastAsia="Calibri"/>
      <w:b/>
      <w:bCs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46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66F1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66F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2</dc:creator>
  <cp:lastModifiedBy>Richard 2</cp:lastModifiedBy>
  <cp:revision>2</cp:revision>
  <dcterms:created xsi:type="dcterms:W3CDTF">2012-09-05T08:54:00Z</dcterms:created>
  <dcterms:modified xsi:type="dcterms:W3CDTF">2012-09-05T08:54:00Z</dcterms:modified>
</cp:coreProperties>
</file>