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6F" w:rsidRPr="008C2012" w:rsidRDefault="00BB2E6F" w:rsidP="002C1E78">
      <w:pPr>
        <w:rPr>
          <w:rFonts w:ascii="Times New Roman" w:hAnsi="Times New Roman"/>
          <w:b/>
          <w:sz w:val="28"/>
          <w:szCs w:val="28"/>
          <w:lang w:val="en-US"/>
        </w:rPr>
      </w:pPr>
      <w:r w:rsidRPr="008C2012">
        <w:rPr>
          <w:rFonts w:ascii="Times New Roman" w:hAnsi="Times New Roman"/>
          <w:b/>
          <w:sz w:val="28"/>
          <w:szCs w:val="28"/>
          <w:lang w:val="en-US"/>
        </w:rPr>
        <w:t>Supporting Information</w:t>
      </w:r>
    </w:p>
    <w:p w:rsidR="00BB2E6F" w:rsidRDefault="00BB2E6F" w:rsidP="002C1E78">
      <w:pPr>
        <w:rPr>
          <w:rFonts w:ascii="Times New Roman" w:hAnsi="Times New Roman"/>
          <w:b/>
          <w:sz w:val="24"/>
          <w:szCs w:val="24"/>
          <w:lang w:val="en-US"/>
        </w:rPr>
      </w:pPr>
    </w:p>
    <w:p w:rsidR="00BB2E6F" w:rsidRPr="00754829" w:rsidRDefault="00BB2E6F" w:rsidP="002C1E78">
      <w:pPr>
        <w:rPr>
          <w:rFonts w:ascii="Times New Roman" w:hAnsi="Times New Roman"/>
          <w:sz w:val="24"/>
          <w:szCs w:val="24"/>
          <w:lang w:val="en-US"/>
        </w:rPr>
      </w:pPr>
      <w:r w:rsidRPr="00754829">
        <w:rPr>
          <w:rFonts w:ascii="Times New Roman" w:hAnsi="Times New Roman"/>
          <w:sz w:val="24"/>
          <w:szCs w:val="24"/>
          <w:lang w:val="en-US"/>
        </w:rPr>
        <w:t>METHODS</w:t>
      </w:r>
    </w:p>
    <w:p w:rsidR="00BB2E6F" w:rsidRDefault="00BB2E6F" w:rsidP="00762155">
      <w:pPr>
        <w:rPr>
          <w:rFonts w:ascii="Times New Roman" w:hAnsi="Times New Roman"/>
          <w:b/>
          <w:sz w:val="24"/>
          <w:szCs w:val="24"/>
          <w:lang w:val="en-US"/>
        </w:rPr>
      </w:pPr>
      <w:r w:rsidRPr="00D42B4A">
        <w:rPr>
          <w:rFonts w:ascii="Times New Roman" w:hAnsi="Times New Roman"/>
          <w:b/>
          <w:sz w:val="24"/>
          <w:szCs w:val="24"/>
          <w:lang w:val="en-GB"/>
        </w:rPr>
        <w:t xml:space="preserve">Details For </w:t>
      </w:r>
      <w:r w:rsidRPr="00D42B4A">
        <w:rPr>
          <w:rFonts w:ascii="Times New Roman" w:hAnsi="Times New Roman"/>
          <w:b/>
          <w:sz w:val="24"/>
          <w:szCs w:val="24"/>
          <w:lang w:val="en-US"/>
        </w:rPr>
        <w:t xml:space="preserve">Acute and </w:t>
      </w:r>
      <w:r>
        <w:rPr>
          <w:rFonts w:ascii="Times New Roman" w:hAnsi="Times New Roman"/>
          <w:b/>
          <w:sz w:val="24"/>
          <w:szCs w:val="24"/>
          <w:lang w:val="en-US"/>
        </w:rPr>
        <w:t>C</w:t>
      </w:r>
      <w:r w:rsidRPr="00D42B4A">
        <w:rPr>
          <w:rFonts w:ascii="Times New Roman" w:hAnsi="Times New Roman"/>
          <w:b/>
          <w:sz w:val="24"/>
          <w:szCs w:val="24"/>
          <w:lang w:val="en-US"/>
        </w:rPr>
        <w:t xml:space="preserve">hronic </w:t>
      </w:r>
      <w:r>
        <w:rPr>
          <w:rFonts w:ascii="Times New Roman" w:hAnsi="Times New Roman"/>
          <w:b/>
          <w:sz w:val="24"/>
          <w:szCs w:val="24"/>
          <w:lang w:val="en-US"/>
        </w:rPr>
        <w:t>C</w:t>
      </w:r>
      <w:r w:rsidRPr="00D42B4A">
        <w:rPr>
          <w:rFonts w:ascii="Times New Roman" w:hAnsi="Times New Roman"/>
          <w:b/>
          <w:sz w:val="24"/>
          <w:szCs w:val="24"/>
          <w:lang w:val="en-US"/>
        </w:rPr>
        <w:t xml:space="preserve">olitis </w:t>
      </w:r>
      <w:r>
        <w:rPr>
          <w:rFonts w:ascii="Times New Roman" w:hAnsi="Times New Roman"/>
          <w:b/>
          <w:sz w:val="24"/>
          <w:szCs w:val="24"/>
          <w:lang w:val="en-US"/>
        </w:rPr>
        <w:t>I</w:t>
      </w:r>
      <w:r w:rsidRPr="00D42B4A">
        <w:rPr>
          <w:rFonts w:ascii="Times New Roman" w:hAnsi="Times New Roman"/>
          <w:b/>
          <w:sz w:val="24"/>
          <w:szCs w:val="24"/>
          <w:lang w:val="en-US"/>
        </w:rPr>
        <w:t>nduction</w:t>
      </w:r>
    </w:p>
    <w:p w:rsidR="00BB2E6F" w:rsidRPr="00D42B4A" w:rsidRDefault="00BB2E6F" w:rsidP="002C1E78">
      <w:pPr>
        <w:autoSpaceDE w:val="0"/>
        <w:autoSpaceDN w:val="0"/>
        <w:adjustRightInd w:val="0"/>
        <w:spacing w:after="0" w:line="480" w:lineRule="auto"/>
        <w:jc w:val="both"/>
        <w:rPr>
          <w:rFonts w:ascii="Times New Roman" w:hAnsi="Times New Roman"/>
          <w:sz w:val="24"/>
          <w:szCs w:val="24"/>
          <w:lang w:val="en-US"/>
        </w:rPr>
      </w:pPr>
      <w:r w:rsidRPr="00D42B4A">
        <w:rPr>
          <w:rFonts w:ascii="Times New Roman" w:hAnsi="Times New Roman"/>
          <w:i/>
          <w:sz w:val="24"/>
          <w:szCs w:val="24"/>
          <w:u w:val="single"/>
          <w:lang w:val="en-US"/>
        </w:rPr>
        <w:t>Acute colitis</w:t>
      </w:r>
      <w:r w:rsidRPr="00D42B4A">
        <w:rPr>
          <w:rFonts w:ascii="Times New Roman" w:hAnsi="Times New Roman"/>
          <w:sz w:val="24"/>
          <w:szCs w:val="24"/>
          <w:lang w:val="en-US"/>
        </w:rPr>
        <w:t>: On day 1, mice were weighted and marked in their tail. DSS (5% w/v) was added to the drinking water: The DSS amount consumed was measured daily: 5 ml DSS solution per mouse per day was considered the average amount that a mouse must drink to introduce a sufficient amount of DSS. Whenever it did not occur, the animal w</w:t>
      </w:r>
      <w:r>
        <w:rPr>
          <w:rFonts w:ascii="Times New Roman" w:hAnsi="Times New Roman"/>
          <w:sz w:val="24"/>
          <w:szCs w:val="24"/>
          <w:lang w:val="en-US"/>
        </w:rPr>
        <w:t>as</w:t>
      </w:r>
      <w:r w:rsidRPr="00D42B4A">
        <w:rPr>
          <w:rFonts w:ascii="Times New Roman" w:hAnsi="Times New Roman"/>
          <w:sz w:val="24"/>
          <w:szCs w:val="24"/>
          <w:lang w:val="en-US"/>
        </w:rPr>
        <w:t xml:space="preserve"> excluded. Control mice received the same drinking water without DSS. The DSS solution was changed every third day up to the seventh day when it was replaced by normal water. Every third day mice were weighted. Stools were evaluated for consistency and presence of blood.</w:t>
      </w:r>
    </w:p>
    <w:p w:rsidR="00BB2E6F" w:rsidRDefault="00BB2E6F" w:rsidP="002C1E78">
      <w:pPr>
        <w:autoSpaceDE w:val="0"/>
        <w:autoSpaceDN w:val="0"/>
        <w:adjustRightInd w:val="0"/>
        <w:spacing w:after="0" w:line="480" w:lineRule="auto"/>
        <w:jc w:val="both"/>
        <w:rPr>
          <w:rFonts w:ascii="Times New Roman" w:hAnsi="Times New Roman"/>
          <w:szCs w:val="24"/>
          <w:lang w:val="en-US"/>
        </w:rPr>
      </w:pPr>
      <w:r w:rsidRPr="00D42B4A">
        <w:rPr>
          <w:rFonts w:ascii="Times New Roman" w:hAnsi="Times New Roman"/>
          <w:i/>
          <w:szCs w:val="24"/>
          <w:u w:val="single"/>
          <w:lang w:val="en-US"/>
        </w:rPr>
        <w:t>Chronic colitis</w:t>
      </w:r>
      <w:r w:rsidRPr="00D42B4A">
        <w:rPr>
          <w:rFonts w:ascii="Times New Roman" w:hAnsi="Times New Roman"/>
          <w:szCs w:val="24"/>
          <w:lang w:val="en-US"/>
        </w:rPr>
        <w:t>: On day 1, mice were weighted and marked in their tail. DSS (2.5%w/v) was added to the drinking water: 5 ml DSS solution were considered for each mouse. Control mice received the drinking water without DSS. The DSS solution was changed every third day for a total of 8 days administration, after which normal water was replaced for 14 days. The DSS amount consumed was measured daily: 5 ml DSS solution per mouse per day was considered the average amount that a mouse must drink to introduce a sufficient amount of DSS. Whenever it did not occur, the animal were excluded Control mice received the same drinking water without DSS. A similar second and third administration of DSS were after repeated ,with an interval of 14 days. Every third day mice were weighted throughout the experiment. Stools were evaluated for consistency and blood. This administration protocol induces long lasti</w:t>
      </w:r>
      <w:r>
        <w:rPr>
          <w:rFonts w:ascii="Times New Roman" w:hAnsi="Times New Roman"/>
          <w:szCs w:val="24"/>
          <w:lang w:val="en-US"/>
        </w:rPr>
        <w:t xml:space="preserve">ng colonic inflammation </w:t>
      </w:r>
      <w:r w:rsidRPr="00E27ED7">
        <w:rPr>
          <w:rFonts w:ascii="Times New Roman" w:hAnsi="Times New Roman"/>
          <w:szCs w:val="24"/>
          <w:lang w:val="en-US"/>
        </w:rPr>
        <w:t>in mice [SR1].</w:t>
      </w:r>
    </w:p>
    <w:p w:rsidR="00BB2E6F" w:rsidRDefault="00BB2E6F" w:rsidP="002C1E78">
      <w:pPr>
        <w:autoSpaceDE w:val="0"/>
        <w:autoSpaceDN w:val="0"/>
        <w:adjustRightInd w:val="0"/>
        <w:spacing w:after="0" w:line="480" w:lineRule="auto"/>
        <w:jc w:val="both"/>
        <w:rPr>
          <w:rFonts w:ascii="Times New Roman" w:hAnsi="Times New Roman"/>
          <w:b/>
          <w:sz w:val="24"/>
          <w:szCs w:val="24"/>
          <w:lang w:val="en-US"/>
        </w:rPr>
      </w:pPr>
    </w:p>
    <w:p w:rsidR="00BB2E6F" w:rsidRPr="001F28F3" w:rsidRDefault="00BB2E6F" w:rsidP="002C1E78">
      <w:pPr>
        <w:autoSpaceDE w:val="0"/>
        <w:autoSpaceDN w:val="0"/>
        <w:adjustRightInd w:val="0"/>
        <w:spacing w:after="0" w:line="480" w:lineRule="auto"/>
        <w:jc w:val="both"/>
        <w:rPr>
          <w:rFonts w:ascii="Times New Roman" w:hAnsi="Times New Roman"/>
          <w:b/>
          <w:sz w:val="24"/>
          <w:szCs w:val="24"/>
          <w:lang w:val="en-US"/>
        </w:rPr>
      </w:pPr>
      <w:r w:rsidRPr="001F28F3">
        <w:rPr>
          <w:rFonts w:ascii="Times New Roman" w:hAnsi="Times New Roman"/>
          <w:b/>
          <w:sz w:val="24"/>
          <w:szCs w:val="24"/>
          <w:lang w:val="en-US"/>
        </w:rPr>
        <w:t>Calculation of the human equivalent dose for mouse of curcumin</w:t>
      </w:r>
      <w:r>
        <w:rPr>
          <w:rFonts w:ascii="Times New Roman" w:hAnsi="Times New Roman"/>
          <w:b/>
          <w:sz w:val="24"/>
          <w:szCs w:val="24"/>
          <w:lang w:val="en-US"/>
        </w:rPr>
        <w:t>.</w:t>
      </w:r>
    </w:p>
    <w:p w:rsidR="00BB2E6F" w:rsidRPr="00D42B4A" w:rsidRDefault="00BB2E6F" w:rsidP="002C1E78">
      <w:pPr>
        <w:autoSpaceDE w:val="0"/>
        <w:autoSpaceDN w:val="0"/>
        <w:adjustRightInd w:val="0"/>
        <w:spacing w:after="0" w:line="480" w:lineRule="auto"/>
        <w:jc w:val="both"/>
        <w:rPr>
          <w:rFonts w:ascii="Times New Roman" w:hAnsi="Times New Roman"/>
          <w:sz w:val="24"/>
          <w:szCs w:val="24"/>
          <w:lang w:val="en-US"/>
        </w:rPr>
      </w:pPr>
      <w:r w:rsidRPr="00D42B4A">
        <w:rPr>
          <w:rFonts w:ascii="Times New Roman" w:hAnsi="Times New Roman"/>
          <w:sz w:val="24"/>
          <w:szCs w:val="24"/>
          <w:lang w:val="en-US"/>
        </w:rPr>
        <w:t xml:space="preserve">The calculation of the human equivalent amount of curcuma consumed by mice has been based on the following assumptions: the recommended dose for human is 1.2 g/day and the average adult human weighs </w:t>
      </w:r>
      <w:smartTag w:uri="urn:schemas-microsoft-com:office:smarttags" w:element="metricconverter">
        <w:smartTagPr>
          <w:attr w:name="ProductID" w:val="65 kg"/>
        </w:smartTagPr>
        <w:r w:rsidRPr="00D42B4A">
          <w:rPr>
            <w:rFonts w:ascii="Times New Roman" w:hAnsi="Times New Roman"/>
            <w:sz w:val="24"/>
            <w:szCs w:val="24"/>
            <w:lang w:val="en-US"/>
          </w:rPr>
          <w:t>65 kg</w:t>
        </w:r>
      </w:smartTag>
      <w:r w:rsidRPr="00D42B4A">
        <w:rPr>
          <w:rFonts w:ascii="Times New Roman" w:hAnsi="Times New Roman"/>
          <w:sz w:val="24"/>
          <w:szCs w:val="24"/>
          <w:lang w:val="en-US"/>
        </w:rPr>
        <w:t>. This accounts for a dose of 18.4 mg/kg for man. Our calculation of the human equivalent amount of curcuma consumed by mice uses the body surface area normalization method (translational dose) with the following assumptions: a mouse eats 5g chow daily and weighs 22-</w:t>
      </w:r>
      <w:smartTag w:uri="urn:schemas-microsoft-com:office:smarttags" w:element="metricconverter">
        <w:smartTagPr>
          <w:attr w:name="ProductID" w:val="25 g"/>
        </w:smartTagPr>
        <w:r w:rsidRPr="00D42B4A">
          <w:rPr>
            <w:rFonts w:ascii="Times New Roman" w:hAnsi="Times New Roman"/>
            <w:sz w:val="24"/>
            <w:szCs w:val="24"/>
            <w:lang w:val="en-US"/>
          </w:rPr>
          <w:t>25 g</w:t>
        </w:r>
      </w:smartTag>
      <w:r w:rsidRPr="00D42B4A">
        <w:rPr>
          <w:rFonts w:ascii="Times New Roman" w:hAnsi="Times New Roman"/>
          <w:sz w:val="24"/>
          <w:szCs w:val="24"/>
          <w:lang w:val="en-US"/>
        </w:rPr>
        <w:t xml:space="preserve">; chow contains 1g/kg of curcuma. Therefore, 1g / 1000g chow per </w:t>
      </w:r>
      <w:smartTag w:uri="urn:schemas-microsoft-com:office:smarttags" w:element="metricconverter">
        <w:smartTagPr>
          <w:attr w:name="ProductID" w:val="5 g"/>
        </w:smartTagPr>
        <w:r w:rsidRPr="00D42B4A">
          <w:rPr>
            <w:rFonts w:ascii="Times New Roman" w:hAnsi="Times New Roman"/>
            <w:sz w:val="24"/>
            <w:szCs w:val="24"/>
            <w:lang w:val="en-US"/>
          </w:rPr>
          <w:t>5 g</w:t>
        </w:r>
      </w:smartTag>
      <w:r w:rsidRPr="00D42B4A">
        <w:rPr>
          <w:rFonts w:ascii="Times New Roman" w:hAnsi="Times New Roman"/>
          <w:sz w:val="24"/>
          <w:szCs w:val="24"/>
          <w:lang w:val="en-US"/>
        </w:rPr>
        <w:t xml:space="preserve"> chow/day gives </w:t>
      </w:r>
      <w:smartTag w:uri="urn:schemas-microsoft-com:office:smarttags" w:element="metricconverter">
        <w:smartTagPr>
          <w:attr w:name="ProductID" w:val="0.005 g"/>
        </w:smartTagPr>
        <w:r w:rsidRPr="00D42B4A">
          <w:rPr>
            <w:rFonts w:ascii="Times New Roman" w:hAnsi="Times New Roman"/>
            <w:sz w:val="24"/>
            <w:szCs w:val="24"/>
            <w:lang w:val="en-US"/>
          </w:rPr>
          <w:t>0.005 g</w:t>
        </w:r>
      </w:smartTag>
      <w:r w:rsidRPr="00D42B4A">
        <w:rPr>
          <w:rFonts w:ascii="Times New Roman" w:hAnsi="Times New Roman"/>
          <w:sz w:val="24"/>
          <w:szCs w:val="24"/>
          <w:lang w:val="en-US"/>
        </w:rPr>
        <w:t xml:space="preserve"> daily. If a mouse weighs an average </w:t>
      </w:r>
      <w:smartTag w:uri="urn:schemas-microsoft-com:office:smarttags" w:element="metricconverter">
        <w:smartTagPr>
          <w:attr w:name="ProductID" w:val="25 g"/>
        </w:smartTagPr>
        <w:r w:rsidRPr="00D42B4A">
          <w:rPr>
            <w:rFonts w:ascii="Times New Roman" w:hAnsi="Times New Roman"/>
            <w:sz w:val="24"/>
            <w:szCs w:val="24"/>
            <w:lang w:val="en-US"/>
          </w:rPr>
          <w:t>25 g</w:t>
        </w:r>
      </w:smartTag>
      <w:r w:rsidRPr="00D42B4A">
        <w:rPr>
          <w:rFonts w:ascii="Times New Roman" w:hAnsi="Times New Roman"/>
          <w:sz w:val="24"/>
          <w:szCs w:val="24"/>
          <w:lang w:val="en-US"/>
        </w:rPr>
        <w:t>, then 5 mg/25 g per1000 gives 200 mg/kg dai</w:t>
      </w:r>
      <w:r>
        <w:rPr>
          <w:rFonts w:ascii="Times New Roman" w:hAnsi="Times New Roman"/>
          <w:sz w:val="24"/>
          <w:szCs w:val="24"/>
          <w:lang w:val="en-US"/>
        </w:rPr>
        <w:t xml:space="preserve">ly. As </w:t>
      </w:r>
      <w:r w:rsidRPr="00E27ED7">
        <w:rPr>
          <w:rFonts w:ascii="Times New Roman" w:hAnsi="Times New Roman"/>
          <w:sz w:val="24"/>
          <w:szCs w:val="24"/>
          <w:lang w:val="en-US"/>
        </w:rPr>
        <w:t>discussed by Reagan-Shaw [SR2], the human equivalent dose (mg/kg) is equal to animal dose</w:t>
      </w:r>
      <w:r w:rsidRPr="00D42B4A">
        <w:rPr>
          <w:rFonts w:ascii="Times New Roman" w:hAnsi="Times New Roman"/>
          <w:sz w:val="24"/>
          <w:szCs w:val="24"/>
          <w:lang w:val="en-US"/>
        </w:rPr>
        <w:t xml:space="preserve"> (mg/kg) per(animal Km/human Km). As such, human equivalent dose (mg/kg) for mouse is 200mg/kg per (3/37) equal to 16.2 mg/kg, that is consistent with the recommended dose for human of 18.4 mg/kg/day.</w:t>
      </w:r>
    </w:p>
    <w:p w:rsidR="00BB2E6F" w:rsidRDefault="00BB2E6F" w:rsidP="002C1E78">
      <w:pPr>
        <w:autoSpaceDE w:val="0"/>
        <w:autoSpaceDN w:val="0"/>
        <w:adjustRightInd w:val="0"/>
        <w:spacing w:after="0" w:line="480" w:lineRule="auto"/>
        <w:jc w:val="both"/>
        <w:rPr>
          <w:rFonts w:ascii="Times New Roman" w:hAnsi="Times New Roman"/>
          <w:b/>
          <w:sz w:val="24"/>
          <w:szCs w:val="24"/>
          <w:lang w:val="en-US"/>
        </w:rPr>
      </w:pPr>
    </w:p>
    <w:p w:rsidR="00BB2E6F" w:rsidRPr="00160D9E" w:rsidRDefault="00BB2E6F" w:rsidP="002C1E78">
      <w:pPr>
        <w:autoSpaceDE w:val="0"/>
        <w:autoSpaceDN w:val="0"/>
        <w:adjustRightInd w:val="0"/>
        <w:spacing w:after="0" w:line="480" w:lineRule="auto"/>
        <w:jc w:val="both"/>
        <w:rPr>
          <w:rFonts w:ascii="Times New Roman" w:hAnsi="Times New Roman"/>
          <w:b/>
          <w:sz w:val="24"/>
          <w:szCs w:val="24"/>
          <w:lang w:val="en-US"/>
        </w:rPr>
      </w:pPr>
      <w:r w:rsidRPr="00160D9E">
        <w:rPr>
          <w:rFonts w:ascii="Times New Roman" w:hAnsi="Times New Roman"/>
          <w:b/>
          <w:sz w:val="24"/>
          <w:szCs w:val="24"/>
          <w:lang w:val="en-US"/>
        </w:rPr>
        <w:t>Disease Activity Index Details</w:t>
      </w:r>
    </w:p>
    <w:p w:rsidR="00BB2E6F" w:rsidRPr="00D42B4A" w:rsidRDefault="00BB2E6F" w:rsidP="002C1E78">
      <w:pPr>
        <w:autoSpaceDE w:val="0"/>
        <w:autoSpaceDN w:val="0"/>
        <w:adjustRightInd w:val="0"/>
        <w:spacing w:after="0" w:line="480" w:lineRule="auto"/>
        <w:jc w:val="both"/>
        <w:rPr>
          <w:rFonts w:ascii="Times New Roman" w:hAnsi="Times New Roman"/>
          <w:sz w:val="24"/>
          <w:szCs w:val="24"/>
          <w:lang w:val="en-US"/>
        </w:rPr>
      </w:pPr>
      <w:r w:rsidRPr="00D42B4A">
        <w:rPr>
          <w:rFonts w:ascii="Times New Roman" w:hAnsi="Times New Roman"/>
          <w:i/>
          <w:sz w:val="24"/>
          <w:szCs w:val="24"/>
          <w:lang w:val="en-US"/>
        </w:rPr>
        <w:t>Evaluation of disease activity index</w:t>
      </w:r>
      <w:r>
        <w:rPr>
          <w:rFonts w:ascii="Times New Roman" w:hAnsi="Times New Roman"/>
          <w:i/>
          <w:sz w:val="24"/>
          <w:szCs w:val="24"/>
          <w:lang w:val="en-US"/>
        </w:rPr>
        <w:t xml:space="preserve"> </w:t>
      </w:r>
      <w:r w:rsidRPr="00D42B4A">
        <w:rPr>
          <w:rFonts w:ascii="Times New Roman" w:hAnsi="Times New Roman"/>
          <w:i/>
          <w:sz w:val="24"/>
          <w:szCs w:val="24"/>
          <w:lang w:val="en-US"/>
        </w:rPr>
        <w:t>(DAI)</w:t>
      </w:r>
      <w:r w:rsidRPr="00D42B4A">
        <w:rPr>
          <w:rFonts w:ascii="Times New Roman" w:hAnsi="Times New Roman"/>
          <w:sz w:val="24"/>
          <w:szCs w:val="24"/>
          <w:lang w:val="en-US"/>
        </w:rPr>
        <w:t xml:space="preserve">: Body weight, stool consistency and stool blood were recorded every three days. DAI was determined by combining scores of body weight loss, stool consistency and stool blood, divided by 3. Body weight loss was calculated as the percent difference between the initial weight (day 0) and the body weight at each time interval. Blood in stools was determined with the occult blood test kit(Shionogi &amp; Co. Ltd, </w:t>
      </w:r>
      <w:smartTag w:uri="urn:schemas-microsoft-com:office:smarttags" w:element="City">
        <w:smartTag w:uri="urn:schemas-microsoft-com:office:smarttags" w:element="place">
          <w:smartTag w:uri="urn:schemas-microsoft-com:office:smarttags" w:element="City">
            <w:r w:rsidRPr="00D42B4A">
              <w:rPr>
                <w:rFonts w:ascii="Times New Roman" w:hAnsi="Times New Roman"/>
                <w:sz w:val="24"/>
                <w:szCs w:val="24"/>
                <w:lang w:val="en-US"/>
              </w:rPr>
              <w:t>Osaka</w:t>
            </w:r>
          </w:smartTag>
          <w:r w:rsidRPr="00D42B4A">
            <w:rPr>
              <w:rFonts w:ascii="Times New Roman" w:hAnsi="Times New Roman"/>
              <w:sz w:val="24"/>
              <w:szCs w:val="24"/>
              <w:lang w:val="en-US"/>
            </w:rPr>
            <w:t xml:space="preserve">, </w:t>
          </w:r>
          <w:smartTag w:uri="urn:schemas-microsoft-com:office:smarttags" w:element="country-region">
            <w:r w:rsidRPr="00D42B4A">
              <w:rPr>
                <w:rFonts w:ascii="Times New Roman" w:hAnsi="Times New Roman"/>
                <w:sz w:val="24"/>
                <w:szCs w:val="24"/>
                <w:lang w:val="en-US"/>
              </w:rPr>
              <w:t>Japan</w:t>
            </w:r>
          </w:smartTag>
        </w:smartTag>
      </w:smartTag>
      <w:r w:rsidRPr="00D42B4A">
        <w:rPr>
          <w:rFonts w:ascii="Times New Roman" w:hAnsi="Times New Roman"/>
          <w:sz w:val="24"/>
          <w:szCs w:val="24"/>
          <w:lang w:val="en-US"/>
        </w:rPr>
        <w:t>).</w:t>
      </w:r>
    </w:p>
    <w:p w:rsidR="00BB2E6F" w:rsidRPr="00754829" w:rsidRDefault="00BB2E6F" w:rsidP="002C1E78">
      <w:pPr>
        <w:autoSpaceDE w:val="0"/>
        <w:autoSpaceDN w:val="0"/>
        <w:adjustRightInd w:val="0"/>
        <w:spacing w:after="0" w:line="480" w:lineRule="auto"/>
        <w:jc w:val="both"/>
        <w:rPr>
          <w:rFonts w:ascii="Times New Roman" w:hAnsi="Times New Roman"/>
          <w:color w:val="000000"/>
          <w:sz w:val="24"/>
          <w:szCs w:val="24"/>
          <w:lang w:val="en-US"/>
        </w:rPr>
      </w:pPr>
      <w:r w:rsidRPr="00D42B4A">
        <w:rPr>
          <w:rFonts w:ascii="Times New Roman" w:hAnsi="Times New Roman"/>
          <w:sz w:val="24"/>
          <w:szCs w:val="24"/>
          <w:lang w:val="en-US"/>
        </w:rPr>
        <w:t>The colon was individuated as the segment between the ileo-cecal valve and the rectum</w:t>
      </w:r>
      <w:r>
        <w:rPr>
          <w:rFonts w:ascii="Times New Roman" w:hAnsi="Times New Roman"/>
          <w:sz w:val="24"/>
          <w:szCs w:val="24"/>
          <w:lang w:val="en-US"/>
        </w:rPr>
        <w:t xml:space="preserve"> </w:t>
      </w:r>
      <w:r w:rsidRPr="00D42B4A">
        <w:rPr>
          <w:rFonts w:ascii="Times New Roman" w:hAnsi="Times New Roman"/>
          <w:sz w:val="24"/>
          <w:szCs w:val="24"/>
          <w:lang w:val="en-US"/>
        </w:rPr>
        <w:t xml:space="preserve">and the length was measured. </w:t>
      </w:r>
      <w:r w:rsidRPr="00D42B4A">
        <w:rPr>
          <w:rFonts w:ascii="Times New Roman" w:hAnsi="Times New Roman"/>
          <w:bCs/>
          <w:sz w:val="24"/>
          <w:szCs w:val="24"/>
          <w:lang w:val="en-US"/>
        </w:rPr>
        <w:t xml:space="preserve">Disease Activity Index (DAI) </w:t>
      </w:r>
      <w:r w:rsidRPr="00D42B4A">
        <w:rPr>
          <w:rFonts w:ascii="Times New Roman" w:hAnsi="Times New Roman"/>
          <w:sz w:val="24"/>
          <w:szCs w:val="24"/>
          <w:lang w:val="en-US"/>
        </w:rPr>
        <w:t>was calculated for each animal as d</w:t>
      </w:r>
      <w:r>
        <w:rPr>
          <w:rFonts w:ascii="Times New Roman" w:hAnsi="Times New Roman"/>
          <w:sz w:val="24"/>
          <w:szCs w:val="24"/>
          <w:lang w:val="en-US"/>
        </w:rPr>
        <w:t xml:space="preserve">escribed by </w:t>
      </w:r>
      <w:r w:rsidRPr="00E27ED7">
        <w:rPr>
          <w:rFonts w:ascii="Times New Roman" w:hAnsi="Times New Roman"/>
          <w:color w:val="000000"/>
          <w:sz w:val="24"/>
          <w:szCs w:val="24"/>
          <w:lang w:val="en-US"/>
        </w:rPr>
        <w:t xml:space="preserve">Fitzpatrick [SR3] (see </w:t>
      </w:r>
      <w:r w:rsidRPr="00E27ED7">
        <w:rPr>
          <w:rFonts w:ascii="Times New Roman" w:hAnsi="Times New Roman"/>
          <w:b/>
          <w:color w:val="000000"/>
          <w:sz w:val="24"/>
          <w:szCs w:val="24"/>
          <w:lang w:val="en-US"/>
        </w:rPr>
        <w:t>Table S1</w:t>
      </w:r>
      <w:r w:rsidRPr="00E27ED7">
        <w:rPr>
          <w:rFonts w:ascii="Times New Roman" w:hAnsi="Times New Roman"/>
          <w:color w:val="000000"/>
          <w:sz w:val="24"/>
          <w:szCs w:val="24"/>
          <w:lang w:val="en-US"/>
        </w:rPr>
        <w:t>).</w:t>
      </w:r>
      <w:r>
        <w:rPr>
          <w:rFonts w:ascii="Times New Roman" w:hAnsi="Times New Roman"/>
          <w:color w:val="000000"/>
          <w:sz w:val="24"/>
          <w:szCs w:val="24"/>
          <w:lang w:val="en-US"/>
        </w:rPr>
        <w:t xml:space="preserve"> </w:t>
      </w:r>
    </w:p>
    <w:p w:rsidR="00BB2E6F" w:rsidRDefault="00BB2E6F" w:rsidP="002C1E78">
      <w:pPr>
        <w:autoSpaceDE w:val="0"/>
        <w:autoSpaceDN w:val="0"/>
        <w:adjustRightInd w:val="0"/>
        <w:spacing w:after="0" w:line="480" w:lineRule="auto"/>
        <w:jc w:val="both"/>
        <w:rPr>
          <w:rFonts w:ascii="Times New Roman" w:hAnsi="Times New Roman"/>
          <w:sz w:val="24"/>
          <w:szCs w:val="24"/>
          <w:lang w:val="en-US"/>
        </w:rPr>
      </w:pPr>
    </w:p>
    <w:p w:rsidR="00BB2E6F" w:rsidRPr="00D42B4A" w:rsidRDefault="00BB2E6F" w:rsidP="002C1E78">
      <w:pPr>
        <w:autoSpaceDE w:val="0"/>
        <w:autoSpaceDN w:val="0"/>
        <w:adjustRightInd w:val="0"/>
        <w:spacing w:after="0" w:line="480" w:lineRule="auto"/>
        <w:jc w:val="both"/>
        <w:rPr>
          <w:rFonts w:ascii="Times New Roman" w:hAnsi="Times New Roman"/>
          <w:sz w:val="24"/>
          <w:szCs w:val="24"/>
          <w:lang w:val="en-US"/>
        </w:rPr>
      </w:pPr>
      <w:r w:rsidRPr="00D42B4A">
        <w:rPr>
          <w:rFonts w:ascii="Times New Roman" w:hAnsi="Times New Roman"/>
          <w:sz w:val="24"/>
          <w:szCs w:val="24"/>
          <w:lang w:val="en-US"/>
        </w:rPr>
        <w:t>RESULTS</w:t>
      </w:r>
    </w:p>
    <w:p w:rsidR="00BB2E6F" w:rsidRPr="00D42B4A" w:rsidRDefault="00BB2E6F" w:rsidP="002C1E78">
      <w:pPr>
        <w:spacing w:after="0" w:line="480" w:lineRule="auto"/>
        <w:jc w:val="both"/>
        <w:rPr>
          <w:rFonts w:ascii="Times New Roman" w:hAnsi="Times New Roman"/>
          <w:sz w:val="24"/>
          <w:szCs w:val="24"/>
          <w:lang w:val="en-US"/>
        </w:rPr>
      </w:pPr>
      <w:r w:rsidRPr="00D42B4A">
        <w:rPr>
          <w:rFonts w:ascii="Times New Roman" w:hAnsi="Times New Roman"/>
          <w:i/>
          <w:sz w:val="24"/>
          <w:szCs w:val="24"/>
          <w:lang w:val="en-US"/>
        </w:rPr>
        <w:t>Induction of acute and chronic colitis.</w:t>
      </w:r>
      <w:r w:rsidRPr="00D42B4A">
        <w:rPr>
          <w:rFonts w:ascii="Times New Roman" w:hAnsi="Times New Roman"/>
          <w:sz w:val="24"/>
          <w:szCs w:val="24"/>
          <w:lang w:val="en-US"/>
        </w:rPr>
        <w:t xml:space="preserve"> </w:t>
      </w:r>
      <w:r>
        <w:rPr>
          <w:rFonts w:ascii="Times New Roman" w:hAnsi="Times New Roman"/>
          <w:sz w:val="24"/>
          <w:szCs w:val="24"/>
          <w:lang w:val="en-US"/>
        </w:rPr>
        <w:t>B</w:t>
      </w:r>
      <w:r w:rsidRPr="00D42B4A">
        <w:rPr>
          <w:rFonts w:ascii="Times New Roman" w:hAnsi="Times New Roman"/>
          <w:sz w:val="24"/>
          <w:szCs w:val="24"/>
          <w:lang w:val="en-US"/>
        </w:rPr>
        <w:t xml:space="preserve">oth </w:t>
      </w:r>
      <w:r>
        <w:rPr>
          <w:rFonts w:ascii="Times New Roman" w:hAnsi="Times New Roman"/>
          <w:sz w:val="24"/>
          <w:szCs w:val="24"/>
          <w:lang w:val="en-US"/>
        </w:rPr>
        <w:t xml:space="preserve">in </w:t>
      </w:r>
      <w:r w:rsidRPr="00D42B4A">
        <w:rPr>
          <w:rFonts w:ascii="Times New Roman" w:hAnsi="Times New Roman"/>
          <w:sz w:val="24"/>
          <w:szCs w:val="24"/>
          <w:lang w:val="en-US"/>
        </w:rPr>
        <w:t xml:space="preserve">the usual commercial diet </w:t>
      </w:r>
      <w:r>
        <w:rPr>
          <w:rFonts w:ascii="Times New Roman" w:hAnsi="Times New Roman"/>
          <w:sz w:val="24"/>
          <w:szCs w:val="24"/>
          <w:lang w:val="en-US"/>
        </w:rPr>
        <w:t xml:space="preserve">and in the </w:t>
      </w:r>
      <w:r w:rsidRPr="00D42B4A">
        <w:rPr>
          <w:rFonts w:ascii="Times New Roman" w:hAnsi="Times New Roman"/>
          <w:sz w:val="24"/>
          <w:szCs w:val="24"/>
          <w:lang w:val="en-US"/>
        </w:rPr>
        <w:t>curcuma diet animals</w:t>
      </w:r>
      <w:r>
        <w:rPr>
          <w:rFonts w:ascii="Times New Roman" w:hAnsi="Times New Roman"/>
          <w:sz w:val="24"/>
          <w:szCs w:val="24"/>
          <w:lang w:val="en-US"/>
        </w:rPr>
        <w:t>,</w:t>
      </w:r>
      <w:r w:rsidRPr="00D42B4A">
        <w:rPr>
          <w:rFonts w:ascii="Times New Roman" w:hAnsi="Times New Roman"/>
          <w:sz w:val="24"/>
          <w:szCs w:val="24"/>
          <w:lang w:val="en-US"/>
        </w:rPr>
        <w:t xml:space="preserve"> the food daily intake was similar.</w:t>
      </w:r>
      <w:r>
        <w:rPr>
          <w:rFonts w:ascii="Times New Roman" w:hAnsi="Times New Roman"/>
          <w:sz w:val="24"/>
          <w:szCs w:val="24"/>
          <w:lang w:val="en-US"/>
        </w:rPr>
        <w:t xml:space="preserve"> </w:t>
      </w:r>
      <w:r w:rsidRPr="00D42B4A">
        <w:rPr>
          <w:rFonts w:ascii="Times New Roman" w:hAnsi="Times New Roman"/>
          <w:sz w:val="24"/>
          <w:szCs w:val="24"/>
          <w:lang w:val="en-US"/>
        </w:rPr>
        <w:t>At the end of the induction period, the animals not showing a loss of at least 10% of the initial weight were disc</w:t>
      </w:r>
      <w:r>
        <w:rPr>
          <w:rFonts w:ascii="Times New Roman" w:hAnsi="Times New Roman"/>
          <w:sz w:val="24"/>
          <w:szCs w:val="24"/>
          <w:lang w:val="en-US"/>
        </w:rPr>
        <w:t xml:space="preserve">harged. A mortality rate </w:t>
      </w:r>
      <w:r w:rsidRPr="00CC3404">
        <w:rPr>
          <w:rFonts w:ascii="Times New Roman" w:hAnsi="Times New Roman"/>
          <w:sz w:val="24"/>
          <w:szCs w:val="24"/>
          <w:lang w:val="en-US"/>
        </w:rPr>
        <w:t>of 4% and 2%</w:t>
      </w:r>
      <w:r w:rsidRPr="00D42B4A">
        <w:rPr>
          <w:rFonts w:ascii="Times New Roman" w:hAnsi="Times New Roman"/>
          <w:sz w:val="24"/>
          <w:szCs w:val="24"/>
          <w:lang w:val="en-US"/>
        </w:rPr>
        <w:t xml:space="preserve"> was observed respectively in acute and chronic colitis groups. At the autopsy, all the deceased animals showed marked distention of the abdomen, in two cases, there was also distension and perforation of the colon with bloody content and blood infiltration of the peritoneum. Appearance of fresh emitted stools varied from frank diarrhea, with traces of blood in acute colitis to amorphous moist pellets with inconstant traces of blood in chronic cases. When a mice didn’t show abnormal feces for at least 7 days before the sacrifice in the chronic and 3 days in the acute experiments respectively, it was not considered suitable for sacrifice. One animal in the acute colitis group and 4 animals in the chronic colitis group were in this way excluded</w:t>
      </w:r>
      <w:r>
        <w:rPr>
          <w:rFonts w:ascii="Times New Roman" w:hAnsi="Times New Roman"/>
          <w:sz w:val="24"/>
          <w:szCs w:val="24"/>
          <w:lang w:val="en-US"/>
        </w:rPr>
        <w:t>.</w:t>
      </w:r>
    </w:p>
    <w:p w:rsidR="00BB2E6F" w:rsidRPr="00D42B4A" w:rsidRDefault="00BB2E6F" w:rsidP="002C1E78">
      <w:pPr>
        <w:autoSpaceDE w:val="0"/>
        <w:autoSpaceDN w:val="0"/>
        <w:adjustRightInd w:val="0"/>
        <w:spacing w:after="0" w:line="480" w:lineRule="auto"/>
        <w:jc w:val="both"/>
        <w:rPr>
          <w:rFonts w:ascii="Times New Roman" w:hAnsi="Times New Roman"/>
          <w:sz w:val="24"/>
          <w:szCs w:val="24"/>
          <w:lang w:val="en-US"/>
        </w:rPr>
      </w:pPr>
    </w:p>
    <w:p w:rsidR="00BB2E6F" w:rsidRPr="00D42B4A" w:rsidRDefault="00BB2E6F" w:rsidP="002C1E78">
      <w:pPr>
        <w:autoSpaceDE w:val="0"/>
        <w:autoSpaceDN w:val="0"/>
        <w:adjustRightInd w:val="0"/>
        <w:spacing w:line="480" w:lineRule="auto"/>
        <w:jc w:val="both"/>
        <w:rPr>
          <w:rFonts w:ascii="Times New Roman" w:hAnsi="Times New Roman"/>
          <w:sz w:val="24"/>
          <w:szCs w:val="24"/>
          <w:lang w:val="en-US"/>
        </w:rPr>
      </w:pPr>
      <w:r w:rsidRPr="00D42B4A">
        <w:rPr>
          <w:rFonts w:ascii="Times New Roman" w:hAnsi="Times New Roman"/>
          <w:i/>
          <w:sz w:val="24"/>
          <w:szCs w:val="24"/>
          <w:lang w:val="en-US"/>
        </w:rPr>
        <w:t>Assessment of acute and chronic colitis and evaluation of the response to curcuma extract.</w:t>
      </w:r>
      <w:r w:rsidRPr="00D42B4A">
        <w:rPr>
          <w:rFonts w:ascii="Times New Roman" w:hAnsi="Times New Roman"/>
          <w:sz w:val="24"/>
          <w:szCs w:val="24"/>
          <w:lang w:val="en-US"/>
        </w:rPr>
        <w:t xml:space="preserve"> Length of the colon: in control mice, the colon length was 7.82 ± </w:t>
      </w:r>
      <w:smartTag w:uri="urn:schemas-microsoft-com:office:smarttags" w:element="metricconverter">
        <w:smartTagPr>
          <w:attr w:name="ProductID" w:val="0.3 cm"/>
        </w:smartTagPr>
        <w:r w:rsidRPr="00D42B4A">
          <w:rPr>
            <w:rFonts w:ascii="Times New Roman" w:hAnsi="Times New Roman"/>
            <w:sz w:val="24"/>
            <w:szCs w:val="24"/>
            <w:lang w:val="en-US"/>
          </w:rPr>
          <w:t>0.3 cm</w:t>
        </w:r>
      </w:smartTag>
      <w:r w:rsidRPr="00D42B4A">
        <w:rPr>
          <w:rFonts w:ascii="Times New Roman" w:hAnsi="Times New Roman"/>
          <w:sz w:val="24"/>
          <w:szCs w:val="24"/>
          <w:lang w:val="en-US"/>
        </w:rPr>
        <w:t xml:space="preserve">; after acute colitis, the colon length was reduced to 5.7 ± </w:t>
      </w:r>
      <w:smartTag w:uri="urn:schemas-microsoft-com:office:smarttags" w:element="metricconverter">
        <w:smartTagPr>
          <w:attr w:name="ProductID" w:val="0.5 cm"/>
        </w:smartTagPr>
        <w:r w:rsidRPr="00D42B4A">
          <w:rPr>
            <w:rFonts w:ascii="Times New Roman" w:hAnsi="Times New Roman"/>
            <w:sz w:val="24"/>
            <w:szCs w:val="24"/>
            <w:lang w:val="en-US"/>
          </w:rPr>
          <w:t>0.5 cm</w:t>
        </w:r>
      </w:smartTag>
      <w:r w:rsidRPr="00D42B4A">
        <w:rPr>
          <w:rFonts w:ascii="Times New Roman" w:hAnsi="Times New Roman"/>
          <w:sz w:val="24"/>
          <w:szCs w:val="24"/>
          <w:lang w:val="en-US"/>
        </w:rPr>
        <w:t xml:space="preserve">. After curcuma extract over 7 days, it was 6.4 ± </w:t>
      </w:r>
      <w:smartTag w:uri="urn:schemas-microsoft-com:office:smarttags" w:element="metricconverter">
        <w:smartTagPr>
          <w:attr w:name="ProductID" w:val="0.6 cm"/>
        </w:smartTagPr>
        <w:r w:rsidRPr="00D42B4A">
          <w:rPr>
            <w:rFonts w:ascii="Times New Roman" w:hAnsi="Times New Roman"/>
            <w:sz w:val="24"/>
            <w:szCs w:val="24"/>
            <w:lang w:val="en-US"/>
          </w:rPr>
          <w:t>0.6 cm</w:t>
        </w:r>
      </w:smartTag>
      <w:r w:rsidRPr="00D42B4A">
        <w:rPr>
          <w:rFonts w:ascii="Times New Roman" w:hAnsi="Times New Roman"/>
          <w:sz w:val="24"/>
          <w:szCs w:val="24"/>
          <w:lang w:val="en-US"/>
        </w:rPr>
        <w:t xml:space="preserve"> </w:t>
      </w:r>
      <w:r w:rsidRPr="00D42B4A">
        <w:rPr>
          <w:rFonts w:ascii="Times New Roman" w:hAnsi="Times New Roman"/>
          <w:i/>
          <w:sz w:val="24"/>
          <w:szCs w:val="24"/>
          <w:lang w:val="en-US"/>
        </w:rPr>
        <w:t>vs</w:t>
      </w:r>
      <w:r w:rsidRPr="00D42B4A">
        <w:rPr>
          <w:rFonts w:ascii="Times New Roman" w:hAnsi="Times New Roman"/>
          <w:sz w:val="24"/>
          <w:szCs w:val="24"/>
          <w:lang w:val="en-US"/>
        </w:rPr>
        <w:t xml:space="preserve"> 5.8 ± </w:t>
      </w:r>
      <w:smartTag w:uri="urn:schemas-microsoft-com:office:smarttags" w:element="metricconverter">
        <w:smartTagPr>
          <w:attr w:name="ProductID" w:val="0.5 cm"/>
        </w:smartTagPr>
        <w:r w:rsidRPr="00D42B4A">
          <w:rPr>
            <w:rFonts w:ascii="Times New Roman" w:hAnsi="Times New Roman"/>
            <w:sz w:val="24"/>
            <w:szCs w:val="24"/>
            <w:lang w:val="en-US"/>
          </w:rPr>
          <w:t>0.5 cm</w:t>
        </w:r>
      </w:smartTag>
      <w:r w:rsidRPr="00D42B4A">
        <w:rPr>
          <w:rFonts w:ascii="Times New Roman" w:hAnsi="Times New Roman"/>
          <w:sz w:val="24"/>
          <w:szCs w:val="24"/>
          <w:lang w:val="en-US"/>
        </w:rPr>
        <w:t xml:space="preserve">. After chronic colitis similarly, induction it was 4.9 ± </w:t>
      </w:r>
      <w:smartTag w:uri="urn:schemas-microsoft-com:office:smarttags" w:element="metricconverter">
        <w:smartTagPr>
          <w:attr w:name="ProductID" w:val="0.5 cm"/>
        </w:smartTagPr>
        <w:r w:rsidRPr="00D42B4A">
          <w:rPr>
            <w:rFonts w:ascii="Times New Roman" w:hAnsi="Times New Roman"/>
            <w:sz w:val="24"/>
            <w:szCs w:val="24"/>
            <w:lang w:val="en-US"/>
          </w:rPr>
          <w:t>0.5 cm</w:t>
        </w:r>
      </w:smartTag>
      <w:r w:rsidRPr="00D42B4A">
        <w:rPr>
          <w:rFonts w:ascii="Times New Roman" w:hAnsi="Times New Roman"/>
          <w:sz w:val="24"/>
          <w:szCs w:val="24"/>
          <w:lang w:val="en-US"/>
        </w:rPr>
        <w:t xml:space="preserve">. After 21 days treatment with curcuma, it was 6.3 ± 0.5 </w:t>
      </w:r>
      <w:r w:rsidRPr="00D42B4A">
        <w:rPr>
          <w:rFonts w:ascii="Times New Roman" w:hAnsi="Times New Roman"/>
          <w:i/>
          <w:sz w:val="24"/>
          <w:szCs w:val="24"/>
          <w:lang w:val="en-US"/>
        </w:rPr>
        <w:t>vs</w:t>
      </w:r>
      <w:r w:rsidRPr="00D42B4A">
        <w:rPr>
          <w:rFonts w:ascii="Times New Roman" w:hAnsi="Times New Roman"/>
          <w:sz w:val="24"/>
          <w:szCs w:val="24"/>
          <w:lang w:val="en-US"/>
        </w:rPr>
        <w:t xml:space="preserve"> 5.8 ± </w:t>
      </w:r>
      <w:smartTag w:uri="urn:schemas-microsoft-com:office:smarttags" w:element="metricconverter">
        <w:smartTagPr>
          <w:attr w:name="ProductID" w:val="0.5 cm"/>
        </w:smartTagPr>
        <w:r w:rsidRPr="00D42B4A">
          <w:rPr>
            <w:rFonts w:ascii="Times New Roman" w:hAnsi="Times New Roman"/>
            <w:sz w:val="24"/>
            <w:szCs w:val="24"/>
            <w:lang w:val="en-US"/>
          </w:rPr>
          <w:t>0.5 cm</w:t>
        </w:r>
      </w:smartTag>
      <w:r w:rsidRPr="00D42B4A">
        <w:rPr>
          <w:rFonts w:ascii="Times New Roman" w:hAnsi="Times New Roman"/>
          <w:sz w:val="24"/>
          <w:szCs w:val="24"/>
          <w:lang w:val="en-US"/>
        </w:rPr>
        <w:t xml:space="preserve"> of mice without treatment. This shows that shortening of the colon can be reversed by curcuma extract (</w:t>
      </w:r>
      <w:r>
        <w:rPr>
          <w:rFonts w:ascii="Times New Roman" w:hAnsi="Times New Roman"/>
          <w:sz w:val="24"/>
          <w:szCs w:val="24"/>
          <w:lang w:val="en-US"/>
        </w:rPr>
        <w:t xml:space="preserve">see </w:t>
      </w:r>
      <w:r w:rsidRPr="00754829">
        <w:rPr>
          <w:rFonts w:ascii="Times New Roman" w:hAnsi="Times New Roman"/>
          <w:b/>
          <w:sz w:val="24"/>
          <w:szCs w:val="24"/>
          <w:lang w:val="en-US"/>
        </w:rPr>
        <w:t>Figure S1</w:t>
      </w:r>
      <w:r w:rsidRPr="00D42B4A">
        <w:rPr>
          <w:rFonts w:ascii="Times New Roman" w:hAnsi="Times New Roman"/>
          <w:sz w:val="24"/>
          <w:szCs w:val="24"/>
          <w:lang w:val="en-US"/>
        </w:rPr>
        <w:t>).</w:t>
      </w:r>
    </w:p>
    <w:p w:rsidR="00BB2E6F" w:rsidRPr="00D42B4A" w:rsidRDefault="00BB2E6F" w:rsidP="002C1E78">
      <w:pPr>
        <w:spacing w:line="480" w:lineRule="auto"/>
        <w:jc w:val="both"/>
        <w:rPr>
          <w:rFonts w:ascii="Times New Roman" w:hAnsi="Times New Roman"/>
          <w:sz w:val="24"/>
          <w:szCs w:val="24"/>
          <w:lang w:val="en-US"/>
        </w:rPr>
      </w:pPr>
      <w:r w:rsidRPr="00D42B4A">
        <w:rPr>
          <w:rFonts w:ascii="Times New Roman" w:hAnsi="Times New Roman"/>
          <w:sz w:val="24"/>
          <w:szCs w:val="24"/>
          <w:lang w:val="en-US"/>
        </w:rPr>
        <w:t xml:space="preserve">Disease Activity Index: DAI during induction of acute and chronic colitis is reported in </w:t>
      </w:r>
      <w:r w:rsidRPr="00FE4854">
        <w:rPr>
          <w:rFonts w:ascii="Times New Roman" w:hAnsi="Times New Roman"/>
          <w:b/>
          <w:sz w:val="24"/>
          <w:szCs w:val="24"/>
          <w:lang w:val="en-US"/>
        </w:rPr>
        <w:t>Figure S2</w:t>
      </w:r>
      <w:r w:rsidRPr="00D42B4A">
        <w:rPr>
          <w:rFonts w:ascii="Times New Roman" w:hAnsi="Times New Roman"/>
          <w:sz w:val="24"/>
          <w:szCs w:val="24"/>
          <w:lang w:val="en-US"/>
        </w:rPr>
        <w:t xml:space="preserve">: The DAI, which monitors disease severity, increased in mice consuming DSS until the end of the administration. In acute experiments, DAI was already increased at the third day (first determination) of DSS administration. In chronic experiments, DAI was not different in control and DSS treated animals until the sixth day, when there was an exponential increase in DAI that continued up to day </w:t>
      </w:r>
      <w:smartTag w:uri="urn:schemas-microsoft-com:office:smarttags" w:element="metricconverter">
        <w:smartTagPr>
          <w:attr w:name="ProductID" w:val="9 in"/>
        </w:smartTagPr>
        <w:r w:rsidRPr="00D42B4A">
          <w:rPr>
            <w:rFonts w:ascii="Times New Roman" w:hAnsi="Times New Roman"/>
            <w:sz w:val="24"/>
            <w:szCs w:val="24"/>
            <w:lang w:val="en-US"/>
          </w:rPr>
          <w:t>9 in</w:t>
        </w:r>
      </w:smartTag>
      <w:r w:rsidRPr="00D42B4A">
        <w:rPr>
          <w:rFonts w:ascii="Times New Roman" w:hAnsi="Times New Roman"/>
          <w:sz w:val="24"/>
          <w:szCs w:val="24"/>
          <w:lang w:val="en-US"/>
        </w:rPr>
        <w:t xml:space="preserve"> DSS treated mice, when DSS was substituted for with water.</w:t>
      </w:r>
    </w:p>
    <w:p w:rsidR="00BB2E6F" w:rsidRPr="00D42B4A" w:rsidRDefault="00BB2E6F" w:rsidP="002C1E78">
      <w:pPr>
        <w:spacing w:line="480" w:lineRule="auto"/>
        <w:jc w:val="both"/>
        <w:rPr>
          <w:rFonts w:ascii="Times New Roman" w:hAnsi="Times New Roman"/>
          <w:sz w:val="24"/>
          <w:szCs w:val="24"/>
          <w:lang w:val="en-US"/>
        </w:rPr>
      </w:pPr>
      <w:r w:rsidRPr="00D42B4A">
        <w:rPr>
          <w:rFonts w:ascii="Times New Roman" w:hAnsi="Times New Roman"/>
          <w:sz w:val="24"/>
          <w:szCs w:val="24"/>
          <w:lang w:val="en-US"/>
        </w:rPr>
        <w:t xml:space="preserve">Each following DSS administration was associated with a greater severity of the disease. After induction of acute colitis, DAI slightly decreased over seven days .However, only mice consuming curcuma extract had a significantly lower DAI. Chronic administration of DSS, which has been </w:t>
      </w:r>
      <w:r w:rsidRPr="00E27ED7">
        <w:rPr>
          <w:rFonts w:ascii="Times New Roman" w:hAnsi="Times New Roman"/>
          <w:sz w:val="24"/>
          <w:szCs w:val="24"/>
          <w:lang w:val="en-US"/>
        </w:rPr>
        <w:t>demonstrated to induce a lasting disease [SR3], is associated with a slow clinical recovery, which is</w:t>
      </w:r>
      <w:r w:rsidRPr="00D42B4A">
        <w:rPr>
          <w:rFonts w:ascii="Times New Roman" w:hAnsi="Times New Roman"/>
          <w:sz w:val="24"/>
          <w:szCs w:val="24"/>
          <w:lang w:val="en-US"/>
        </w:rPr>
        <w:t xml:space="preserve"> significantly higher in mice consuming curcuma extract (p &lt; 0.005). Significance continued until the end of the experiment (</w:t>
      </w:r>
      <w:r>
        <w:rPr>
          <w:rFonts w:ascii="Times New Roman" w:hAnsi="Times New Roman"/>
          <w:sz w:val="24"/>
          <w:szCs w:val="24"/>
          <w:lang w:val="en-US"/>
        </w:rPr>
        <w:t xml:space="preserve">see </w:t>
      </w:r>
      <w:r w:rsidRPr="00FE4854">
        <w:rPr>
          <w:rFonts w:ascii="Times New Roman" w:hAnsi="Times New Roman"/>
          <w:b/>
          <w:sz w:val="24"/>
          <w:szCs w:val="24"/>
          <w:lang w:val="en-US"/>
        </w:rPr>
        <w:t>Figure S3</w:t>
      </w:r>
      <w:r w:rsidRPr="00D42B4A">
        <w:rPr>
          <w:rFonts w:ascii="Times New Roman" w:hAnsi="Times New Roman"/>
          <w:sz w:val="24"/>
          <w:szCs w:val="24"/>
          <w:lang w:val="en-US"/>
        </w:rPr>
        <w:t>).</w:t>
      </w:r>
    </w:p>
    <w:p w:rsidR="00BB2E6F" w:rsidRDefault="00BB2E6F" w:rsidP="002C1E78">
      <w:pPr>
        <w:spacing w:line="240" w:lineRule="auto"/>
        <w:jc w:val="both"/>
        <w:rPr>
          <w:rFonts w:ascii="Times New Roman" w:hAnsi="Times New Roman"/>
          <w:sz w:val="24"/>
          <w:szCs w:val="24"/>
          <w:lang w:val="en-US"/>
        </w:rPr>
      </w:pPr>
    </w:p>
    <w:p w:rsidR="00BB2E6F" w:rsidRDefault="00BB2E6F" w:rsidP="002C1E78">
      <w:pPr>
        <w:spacing w:line="240" w:lineRule="auto"/>
        <w:jc w:val="both"/>
        <w:rPr>
          <w:rFonts w:ascii="Times New Roman" w:hAnsi="Times New Roman"/>
          <w:sz w:val="24"/>
          <w:szCs w:val="24"/>
          <w:lang w:val="en-GB"/>
        </w:rPr>
      </w:pPr>
    </w:p>
    <w:p w:rsidR="00BB2E6F" w:rsidRPr="00E27ED7" w:rsidRDefault="00BB2E6F" w:rsidP="002C1E78">
      <w:pPr>
        <w:pStyle w:val="TAMainText"/>
        <w:spacing w:line="360" w:lineRule="auto"/>
        <w:ind w:firstLine="0"/>
        <w:rPr>
          <w:rFonts w:ascii="Times New Roman" w:hAnsi="Times New Roman"/>
          <w:b/>
          <w:szCs w:val="24"/>
        </w:rPr>
      </w:pPr>
      <w:r w:rsidRPr="00E27ED7">
        <w:rPr>
          <w:rFonts w:ascii="Times New Roman" w:hAnsi="Times New Roman"/>
          <w:b/>
          <w:szCs w:val="24"/>
        </w:rPr>
        <w:t>Supplementary References (SR)</w:t>
      </w:r>
    </w:p>
    <w:p w:rsidR="00BB2E6F" w:rsidRPr="00E27ED7" w:rsidRDefault="00BB2E6F" w:rsidP="002C1E78">
      <w:pPr>
        <w:spacing w:line="360" w:lineRule="auto"/>
        <w:jc w:val="both"/>
        <w:rPr>
          <w:rFonts w:ascii="Times New Roman" w:hAnsi="Times New Roman"/>
          <w:sz w:val="24"/>
          <w:szCs w:val="24"/>
          <w:lang w:val="en-US"/>
        </w:rPr>
      </w:pPr>
    </w:p>
    <w:p w:rsidR="00BB2E6F" w:rsidRPr="00E27ED7" w:rsidRDefault="00BB2E6F" w:rsidP="002C1E78">
      <w:pPr>
        <w:spacing w:line="360" w:lineRule="auto"/>
        <w:jc w:val="both"/>
        <w:rPr>
          <w:rFonts w:ascii="Times New Roman" w:hAnsi="Times New Roman"/>
          <w:sz w:val="24"/>
          <w:szCs w:val="24"/>
          <w:lang w:val="en-US"/>
        </w:rPr>
      </w:pPr>
      <w:r w:rsidRPr="00E27ED7">
        <w:rPr>
          <w:rFonts w:ascii="Times New Roman" w:hAnsi="Times New Roman"/>
          <w:sz w:val="24"/>
          <w:szCs w:val="24"/>
          <w:lang w:val="en-US"/>
        </w:rPr>
        <w:t>SR1.</w:t>
      </w:r>
      <w:r w:rsidRPr="00E27ED7">
        <w:rPr>
          <w:rFonts w:ascii="Times New Roman" w:hAnsi="Times New Roman"/>
          <w:sz w:val="24"/>
          <w:szCs w:val="24"/>
          <w:lang w:val="en-US"/>
        </w:rPr>
        <w:tab/>
        <w:t>Wirtz S, Neufert C, Weigmann B, Neurath MF. (2007) Chemically induced mouse models of intestinal inflammation. Nat Prot 2: 541-546.</w:t>
      </w:r>
    </w:p>
    <w:p w:rsidR="00BB2E6F" w:rsidRPr="00E27ED7" w:rsidRDefault="00BB2E6F" w:rsidP="002C1E78">
      <w:pPr>
        <w:spacing w:line="360" w:lineRule="auto"/>
        <w:jc w:val="both"/>
        <w:rPr>
          <w:rFonts w:ascii="Times New Roman" w:hAnsi="Times New Roman"/>
          <w:sz w:val="24"/>
          <w:szCs w:val="24"/>
          <w:lang w:val="en-US"/>
        </w:rPr>
      </w:pPr>
      <w:r w:rsidRPr="00E27ED7">
        <w:rPr>
          <w:rFonts w:ascii="Times New Roman" w:hAnsi="Times New Roman"/>
          <w:sz w:val="24"/>
          <w:szCs w:val="24"/>
          <w:lang w:val="en-US"/>
        </w:rPr>
        <w:t>SR2</w:t>
      </w:r>
      <w:r w:rsidRPr="00E27ED7">
        <w:rPr>
          <w:rFonts w:ascii="Times New Roman" w:hAnsi="Times New Roman"/>
          <w:sz w:val="24"/>
          <w:szCs w:val="24"/>
          <w:lang w:val="en-US"/>
        </w:rPr>
        <w:tab/>
        <w:t>Reagan-Shaw S, Nihal M, Ahmad N. (2008) Dose translation from animal to human studies revisited. FASEB J 22: 659-61.</w:t>
      </w:r>
    </w:p>
    <w:p w:rsidR="00BB2E6F" w:rsidRPr="00E27ED7" w:rsidRDefault="00BB2E6F" w:rsidP="002C1E78">
      <w:pPr>
        <w:spacing w:line="360" w:lineRule="auto"/>
        <w:jc w:val="both"/>
        <w:rPr>
          <w:rFonts w:ascii="Times New Roman" w:hAnsi="Times New Roman"/>
          <w:sz w:val="24"/>
          <w:szCs w:val="24"/>
          <w:lang w:val="en-US"/>
        </w:rPr>
      </w:pPr>
      <w:r w:rsidRPr="00E27ED7">
        <w:rPr>
          <w:rFonts w:ascii="Times New Roman" w:hAnsi="Times New Roman"/>
          <w:sz w:val="24"/>
          <w:szCs w:val="24"/>
          <w:lang w:val="en-US"/>
        </w:rPr>
        <w:t>SR3</w:t>
      </w:r>
      <w:r w:rsidRPr="00E27ED7">
        <w:rPr>
          <w:rFonts w:ascii="Times New Roman" w:hAnsi="Times New Roman"/>
          <w:sz w:val="24"/>
          <w:szCs w:val="24"/>
          <w:lang w:val="en-US"/>
        </w:rPr>
        <w:tab/>
        <w:t>Fitzpatrick LR, Wang J, Le M. (2004) In vitro and in vivo effects of gliotoxin, a fungal metabolite: Efficacy against dextran sodium sulfate-induced colitis in rats. Dig Dis Sci 45: 2327–36.</w:t>
      </w:r>
    </w:p>
    <w:p w:rsidR="00BB2E6F" w:rsidRPr="00E27ED7" w:rsidRDefault="00BB2E6F" w:rsidP="002C1E78">
      <w:pPr>
        <w:spacing w:line="360" w:lineRule="auto"/>
        <w:jc w:val="both"/>
        <w:rPr>
          <w:rFonts w:ascii="Times New Roman" w:hAnsi="Times New Roman"/>
          <w:sz w:val="24"/>
          <w:szCs w:val="24"/>
          <w:lang w:val="en-US"/>
        </w:rPr>
      </w:pPr>
      <w:r w:rsidRPr="00E27ED7">
        <w:rPr>
          <w:rFonts w:ascii="Times New Roman" w:hAnsi="Times New Roman"/>
          <w:sz w:val="24"/>
          <w:szCs w:val="24"/>
          <w:lang w:val="en-US"/>
        </w:rPr>
        <w:t>SR4</w:t>
      </w:r>
      <w:r w:rsidRPr="00E27ED7">
        <w:rPr>
          <w:rFonts w:ascii="Times New Roman" w:hAnsi="Times New Roman"/>
          <w:sz w:val="24"/>
          <w:szCs w:val="24"/>
          <w:lang w:val="en-US"/>
        </w:rPr>
        <w:tab/>
      </w:r>
      <w:r w:rsidRPr="00E27ED7">
        <w:rPr>
          <w:rFonts w:ascii="Times New Roman" w:hAnsi="Times New Roman"/>
          <w:szCs w:val="24"/>
          <w:lang w:val="en-GB"/>
        </w:rPr>
        <w:t xml:space="preserve">Tallarida  R J., </w:t>
      </w:r>
      <w:smartTag w:uri="urn:schemas-microsoft-com:office:smarttags" w:element="place">
        <w:smartTag w:uri="urn:schemas-microsoft-com:office:smarttags" w:element="City">
          <w:r w:rsidRPr="00E27ED7">
            <w:rPr>
              <w:rFonts w:ascii="Times New Roman" w:hAnsi="Times New Roman"/>
              <w:szCs w:val="24"/>
              <w:lang w:val="en-GB"/>
            </w:rPr>
            <w:t>Murray</w:t>
          </w:r>
        </w:smartTag>
      </w:smartTag>
      <w:r w:rsidRPr="00E27ED7">
        <w:rPr>
          <w:rFonts w:ascii="Times New Roman" w:hAnsi="Times New Roman"/>
          <w:szCs w:val="24"/>
          <w:lang w:val="en-GB"/>
        </w:rPr>
        <w:t xml:space="preserve"> RB.  Manual of Pharmacologic Calculations with Computer Prog</w:t>
      </w:r>
      <w:r w:rsidRPr="00E27ED7">
        <w:rPr>
          <w:rFonts w:ascii="Times New Roman" w:hAnsi="Times New Roman"/>
          <w:szCs w:val="24"/>
          <w:lang w:val="en-US"/>
        </w:rPr>
        <w:t xml:space="preserve">rams, 2nd ed.; Springer-Verlag: </w:t>
      </w:r>
      <w:smartTag w:uri="urn:schemas-microsoft-com:office:smarttags" w:element="place">
        <w:smartTag w:uri="urn:schemas-microsoft-com:office:smarttags" w:element="State">
          <w:r w:rsidRPr="00E27ED7">
            <w:rPr>
              <w:rFonts w:ascii="Times New Roman" w:hAnsi="Times New Roman"/>
              <w:szCs w:val="24"/>
              <w:lang w:val="en-US"/>
            </w:rPr>
            <w:t>New York</w:t>
          </w:r>
        </w:smartTag>
      </w:smartTag>
      <w:r w:rsidRPr="00E27ED7">
        <w:rPr>
          <w:rFonts w:ascii="Times New Roman" w:hAnsi="Times New Roman"/>
          <w:szCs w:val="24"/>
          <w:lang w:val="en-US"/>
        </w:rPr>
        <w:t>; 1987.</w:t>
      </w:r>
    </w:p>
    <w:p w:rsidR="00BB2E6F" w:rsidRPr="00E27ED7" w:rsidRDefault="00BB2E6F" w:rsidP="002C1E78">
      <w:pPr>
        <w:spacing w:line="360" w:lineRule="auto"/>
        <w:jc w:val="both"/>
        <w:rPr>
          <w:rFonts w:ascii="Times New Roman" w:hAnsi="Times New Roman"/>
          <w:sz w:val="24"/>
          <w:szCs w:val="24"/>
          <w:lang w:val="en-US"/>
        </w:rPr>
      </w:pPr>
      <w:r w:rsidRPr="00E27ED7">
        <w:rPr>
          <w:rFonts w:ascii="Times New Roman" w:hAnsi="Times New Roman"/>
          <w:sz w:val="24"/>
          <w:szCs w:val="24"/>
          <w:lang w:val="en-US"/>
        </w:rPr>
        <w:t>SRS5</w:t>
      </w:r>
      <w:r w:rsidRPr="00E27ED7">
        <w:rPr>
          <w:rFonts w:ascii="Times New Roman" w:hAnsi="Times New Roman"/>
          <w:sz w:val="24"/>
          <w:szCs w:val="24"/>
          <w:lang w:val="en-US"/>
        </w:rPr>
        <w:tab/>
      </w:r>
      <w:r w:rsidRPr="00E27ED7">
        <w:rPr>
          <w:rFonts w:ascii="Times New Roman" w:hAnsi="Times New Roman"/>
          <w:sz w:val="24"/>
          <w:szCs w:val="24"/>
          <w:lang w:val="en-GB"/>
        </w:rPr>
        <w:t xml:space="preserve">Motulsky H, Christopoulos A. Fitting Models to Biological Data Using Linear and Non Linear Regression, GrafhPad, </w:t>
      </w:r>
      <w:smartTag w:uri="urn:schemas-microsoft-com:office:smarttags" w:element="PersonName">
        <w:smartTagPr>
          <w:attr w:name="ProductID" w:val="La Jolla"/>
        </w:smartTagPr>
        <w:smartTag w:uri="urn:schemas-microsoft-com:office:smarttags" w:element="City">
          <w:smartTag w:uri="urn:schemas-microsoft-com:office:smarttags" w:element="place">
            <w:r w:rsidRPr="00E27ED7">
              <w:rPr>
                <w:rFonts w:ascii="Times New Roman" w:hAnsi="Times New Roman"/>
                <w:sz w:val="24"/>
                <w:szCs w:val="24"/>
                <w:lang w:val="en-GB"/>
              </w:rPr>
              <w:t>La Jolla</w:t>
            </w:r>
          </w:smartTag>
        </w:smartTag>
        <w:r w:rsidRPr="00E27ED7">
          <w:rPr>
            <w:rFonts w:ascii="Times New Roman" w:hAnsi="Times New Roman"/>
            <w:sz w:val="24"/>
            <w:szCs w:val="24"/>
            <w:lang w:val="en-GB"/>
          </w:rPr>
          <w:t xml:space="preserve">, </w:t>
        </w:r>
        <w:smartTag w:uri="urn:schemas-microsoft-com:office:smarttags" w:element="State">
          <w:r w:rsidRPr="00E27ED7">
            <w:rPr>
              <w:rFonts w:ascii="Times New Roman" w:hAnsi="Times New Roman"/>
              <w:sz w:val="24"/>
              <w:szCs w:val="24"/>
              <w:lang w:val="en-GB"/>
            </w:rPr>
            <w:t>CA</w:t>
          </w:r>
        </w:smartTag>
      </w:smartTag>
      <w:r w:rsidRPr="00E27ED7">
        <w:rPr>
          <w:rFonts w:ascii="Times New Roman" w:hAnsi="Times New Roman"/>
          <w:sz w:val="24"/>
          <w:szCs w:val="24"/>
          <w:lang w:val="en-GB"/>
        </w:rPr>
        <w:t>, 2003, www. graphpad.com/manual/Prism4/RegressionBook.pdf. Accessed May 10, 2010.</w:t>
      </w:r>
    </w:p>
    <w:p w:rsidR="00BB2E6F" w:rsidRPr="009D6811" w:rsidRDefault="00BB2E6F" w:rsidP="009D6811">
      <w:pPr>
        <w:pStyle w:val="HTMLPreformatted"/>
        <w:spacing w:after="200" w:line="360" w:lineRule="auto"/>
        <w:jc w:val="both"/>
        <w:rPr>
          <w:rFonts w:ascii="Times New Roman" w:hAnsi="Times New Roman"/>
          <w:sz w:val="24"/>
          <w:szCs w:val="24"/>
          <w:lang w:val="en-GB"/>
        </w:rPr>
      </w:pPr>
      <w:r w:rsidRPr="00E27ED7">
        <w:rPr>
          <w:rFonts w:ascii="Times New Roman" w:hAnsi="Times New Roman"/>
          <w:sz w:val="24"/>
          <w:szCs w:val="24"/>
          <w:lang w:val="en-US"/>
        </w:rPr>
        <w:t xml:space="preserve">SRS6 </w:t>
      </w:r>
      <w:r w:rsidRPr="00E27ED7">
        <w:rPr>
          <w:rFonts w:ascii="Times New Roman" w:hAnsi="Times New Roman"/>
          <w:sz w:val="24"/>
          <w:szCs w:val="24"/>
          <w:lang w:val="en-GB"/>
        </w:rPr>
        <w:t xml:space="preserve">Arunlakshana O, Schild HO. (1997) Some Quantitative Uses of Drug Antagonists 1958. Br </w:t>
      </w:r>
      <w:r w:rsidRPr="00E27ED7">
        <w:rPr>
          <w:rFonts w:ascii="Times New Roman" w:hAnsi="Times New Roman"/>
          <w:sz w:val="24"/>
          <w:szCs w:val="24"/>
          <w:lang w:val="en-US" w:eastAsia="it-IT"/>
        </w:rPr>
        <w:t>J Pharmacol : 120(4 Suppl): 151-61.</w:t>
      </w:r>
    </w:p>
    <w:p w:rsidR="00BB2E6F" w:rsidRPr="002C1E78" w:rsidRDefault="00BB2E6F" w:rsidP="002C1E78">
      <w:pPr>
        <w:pStyle w:val="HTMLPreformatted"/>
        <w:spacing w:after="200" w:line="360" w:lineRule="auto"/>
        <w:jc w:val="both"/>
        <w:rPr>
          <w:rFonts w:ascii="Times New Roman" w:hAnsi="Times New Roman"/>
          <w:sz w:val="24"/>
          <w:szCs w:val="24"/>
          <w:lang w:val="en-US"/>
        </w:rPr>
      </w:pPr>
    </w:p>
    <w:sectPr w:rsidR="00BB2E6F" w:rsidRPr="002C1E78" w:rsidSect="00080F2F">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6F" w:rsidRDefault="00BB2E6F" w:rsidP="00497F91">
      <w:pPr>
        <w:spacing w:after="0" w:line="240" w:lineRule="auto"/>
      </w:pPr>
      <w:r>
        <w:separator/>
      </w:r>
    </w:p>
  </w:endnote>
  <w:endnote w:type="continuationSeparator" w:id="0">
    <w:p w:rsidR="00BB2E6F" w:rsidRDefault="00BB2E6F" w:rsidP="00497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6F" w:rsidRPr="00D42B4A" w:rsidRDefault="00BB2E6F">
    <w:pPr>
      <w:pStyle w:val="Footer"/>
      <w:jc w:val="center"/>
      <w:rPr>
        <w:rFonts w:ascii="Times New Roman" w:hAnsi="Times New Roman"/>
        <w:sz w:val="24"/>
        <w:szCs w:val="24"/>
      </w:rPr>
    </w:pPr>
    <w:r w:rsidRPr="00D42B4A">
      <w:rPr>
        <w:rFonts w:ascii="Times New Roman" w:hAnsi="Times New Roman"/>
        <w:sz w:val="24"/>
        <w:szCs w:val="24"/>
      </w:rPr>
      <w:fldChar w:fldCharType="begin"/>
    </w:r>
    <w:r w:rsidRPr="00D42B4A">
      <w:rPr>
        <w:rFonts w:ascii="Times New Roman" w:hAnsi="Times New Roman"/>
        <w:sz w:val="24"/>
        <w:szCs w:val="24"/>
      </w:rPr>
      <w:instrText xml:space="preserve"> PAGE   \* MERGEFORMAT </w:instrText>
    </w:r>
    <w:r w:rsidRPr="00D42B4A">
      <w:rPr>
        <w:rFonts w:ascii="Times New Roman" w:hAnsi="Times New Roman"/>
        <w:sz w:val="24"/>
        <w:szCs w:val="24"/>
      </w:rPr>
      <w:fldChar w:fldCharType="separate"/>
    </w:r>
    <w:r>
      <w:rPr>
        <w:rFonts w:ascii="Times New Roman" w:hAnsi="Times New Roman"/>
        <w:noProof/>
        <w:sz w:val="24"/>
        <w:szCs w:val="24"/>
      </w:rPr>
      <w:t>2</w:t>
    </w:r>
    <w:r w:rsidRPr="00D42B4A">
      <w:rPr>
        <w:rFonts w:ascii="Times New Roman" w:hAnsi="Times New Roman"/>
        <w:sz w:val="24"/>
        <w:szCs w:val="24"/>
      </w:rPr>
      <w:fldChar w:fldCharType="end"/>
    </w:r>
  </w:p>
  <w:p w:rsidR="00BB2E6F" w:rsidRDefault="00BB2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6F" w:rsidRDefault="00BB2E6F" w:rsidP="00497F91">
      <w:pPr>
        <w:spacing w:after="0" w:line="240" w:lineRule="auto"/>
      </w:pPr>
      <w:r>
        <w:separator/>
      </w:r>
    </w:p>
  </w:footnote>
  <w:footnote w:type="continuationSeparator" w:id="0">
    <w:p w:rsidR="00BB2E6F" w:rsidRDefault="00BB2E6F" w:rsidP="00497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438A"/>
    <w:multiLevelType w:val="hybridMultilevel"/>
    <w:tmpl w:val="132E1B3C"/>
    <w:lvl w:ilvl="0" w:tplc="CD82B18A">
      <w:start w:val="1"/>
      <w:numFmt w:val="decimal"/>
      <w:lvlText w:val="%1."/>
      <w:lvlJc w:val="left"/>
      <w:pPr>
        <w:ind w:left="360" w:hanging="360"/>
      </w:pPr>
      <w:rPr>
        <w:rFonts w:cs="Times New Roman"/>
      </w:rPr>
    </w:lvl>
    <w:lvl w:ilvl="1" w:tplc="04100019" w:tentative="1">
      <w:start w:val="1"/>
      <w:numFmt w:val="lowerLetter"/>
      <w:lvlText w:val="%2."/>
      <w:lvlJc w:val="left"/>
      <w:pPr>
        <w:ind w:left="1931" w:hanging="360"/>
      </w:pPr>
      <w:rPr>
        <w:rFonts w:cs="Times New Roman"/>
      </w:rPr>
    </w:lvl>
    <w:lvl w:ilvl="2" w:tplc="0410001B" w:tentative="1">
      <w:start w:val="1"/>
      <w:numFmt w:val="lowerRoman"/>
      <w:lvlText w:val="%3."/>
      <w:lvlJc w:val="right"/>
      <w:pPr>
        <w:ind w:left="2651" w:hanging="180"/>
      </w:pPr>
      <w:rPr>
        <w:rFonts w:cs="Times New Roman"/>
      </w:rPr>
    </w:lvl>
    <w:lvl w:ilvl="3" w:tplc="0410000F" w:tentative="1">
      <w:start w:val="1"/>
      <w:numFmt w:val="decimal"/>
      <w:lvlText w:val="%4."/>
      <w:lvlJc w:val="left"/>
      <w:pPr>
        <w:ind w:left="3371" w:hanging="360"/>
      </w:pPr>
      <w:rPr>
        <w:rFonts w:cs="Times New Roman"/>
      </w:rPr>
    </w:lvl>
    <w:lvl w:ilvl="4" w:tplc="04100019" w:tentative="1">
      <w:start w:val="1"/>
      <w:numFmt w:val="lowerLetter"/>
      <w:lvlText w:val="%5."/>
      <w:lvlJc w:val="left"/>
      <w:pPr>
        <w:ind w:left="4091" w:hanging="360"/>
      </w:pPr>
      <w:rPr>
        <w:rFonts w:cs="Times New Roman"/>
      </w:rPr>
    </w:lvl>
    <w:lvl w:ilvl="5" w:tplc="0410001B" w:tentative="1">
      <w:start w:val="1"/>
      <w:numFmt w:val="lowerRoman"/>
      <w:lvlText w:val="%6."/>
      <w:lvlJc w:val="right"/>
      <w:pPr>
        <w:ind w:left="4811" w:hanging="180"/>
      </w:pPr>
      <w:rPr>
        <w:rFonts w:cs="Times New Roman"/>
      </w:rPr>
    </w:lvl>
    <w:lvl w:ilvl="6" w:tplc="0410000F" w:tentative="1">
      <w:start w:val="1"/>
      <w:numFmt w:val="decimal"/>
      <w:lvlText w:val="%7."/>
      <w:lvlJc w:val="left"/>
      <w:pPr>
        <w:ind w:left="5531" w:hanging="360"/>
      </w:pPr>
      <w:rPr>
        <w:rFonts w:cs="Times New Roman"/>
      </w:rPr>
    </w:lvl>
    <w:lvl w:ilvl="7" w:tplc="04100019" w:tentative="1">
      <w:start w:val="1"/>
      <w:numFmt w:val="lowerLetter"/>
      <w:lvlText w:val="%8."/>
      <w:lvlJc w:val="left"/>
      <w:pPr>
        <w:ind w:left="6251" w:hanging="360"/>
      </w:pPr>
      <w:rPr>
        <w:rFonts w:cs="Times New Roman"/>
      </w:rPr>
    </w:lvl>
    <w:lvl w:ilvl="8" w:tplc="0410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E78"/>
    <w:rsid w:val="00013770"/>
    <w:rsid w:val="0002236E"/>
    <w:rsid w:val="00065A13"/>
    <w:rsid w:val="00080F2F"/>
    <w:rsid w:val="000920C8"/>
    <w:rsid w:val="000C0EAB"/>
    <w:rsid w:val="00160D9E"/>
    <w:rsid w:val="001F28F3"/>
    <w:rsid w:val="002621E0"/>
    <w:rsid w:val="002C1E78"/>
    <w:rsid w:val="002E18EB"/>
    <w:rsid w:val="002F4DE9"/>
    <w:rsid w:val="00336510"/>
    <w:rsid w:val="00344130"/>
    <w:rsid w:val="00366811"/>
    <w:rsid w:val="003A4FF6"/>
    <w:rsid w:val="003D2C4B"/>
    <w:rsid w:val="00445FE2"/>
    <w:rsid w:val="00497F91"/>
    <w:rsid w:val="004D611B"/>
    <w:rsid w:val="00534227"/>
    <w:rsid w:val="00590F7E"/>
    <w:rsid w:val="005D481C"/>
    <w:rsid w:val="005D4FF7"/>
    <w:rsid w:val="005E0595"/>
    <w:rsid w:val="0067433A"/>
    <w:rsid w:val="00686FD3"/>
    <w:rsid w:val="006D3FFC"/>
    <w:rsid w:val="00731BC3"/>
    <w:rsid w:val="00754829"/>
    <w:rsid w:val="00762155"/>
    <w:rsid w:val="007C75A5"/>
    <w:rsid w:val="00805762"/>
    <w:rsid w:val="008447D0"/>
    <w:rsid w:val="008C2012"/>
    <w:rsid w:val="008F5F1D"/>
    <w:rsid w:val="0090291A"/>
    <w:rsid w:val="00905B3C"/>
    <w:rsid w:val="009B524F"/>
    <w:rsid w:val="009D6811"/>
    <w:rsid w:val="00AA121D"/>
    <w:rsid w:val="00BB2E6F"/>
    <w:rsid w:val="00BD3BF3"/>
    <w:rsid w:val="00C15099"/>
    <w:rsid w:val="00C54A72"/>
    <w:rsid w:val="00C914F0"/>
    <w:rsid w:val="00CA61F2"/>
    <w:rsid w:val="00CB1C69"/>
    <w:rsid w:val="00CC25E7"/>
    <w:rsid w:val="00CC3404"/>
    <w:rsid w:val="00CF5072"/>
    <w:rsid w:val="00D25315"/>
    <w:rsid w:val="00D42B4A"/>
    <w:rsid w:val="00D45552"/>
    <w:rsid w:val="00D8741E"/>
    <w:rsid w:val="00DD228B"/>
    <w:rsid w:val="00DF562A"/>
    <w:rsid w:val="00E05BB6"/>
    <w:rsid w:val="00E27ED7"/>
    <w:rsid w:val="00E978BF"/>
    <w:rsid w:val="00EA0F10"/>
    <w:rsid w:val="00EA6942"/>
    <w:rsid w:val="00ED45FA"/>
    <w:rsid w:val="00F057CB"/>
    <w:rsid w:val="00F737DA"/>
    <w:rsid w:val="00FE4854"/>
    <w:rsid w:val="00FF07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7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AuthorAddress">
    <w:name w:val="BC_Author_Address"/>
    <w:basedOn w:val="Normal"/>
    <w:next w:val="Normal"/>
    <w:uiPriority w:val="99"/>
    <w:rsid w:val="002C1E78"/>
    <w:pPr>
      <w:spacing w:after="240" w:line="480" w:lineRule="auto"/>
      <w:jc w:val="center"/>
    </w:pPr>
    <w:rPr>
      <w:rFonts w:ascii="Times" w:eastAsia="Times New Roman" w:hAnsi="Times"/>
      <w:sz w:val="24"/>
      <w:szCs w:val="20"/>
      <w:lang w:val="en-US"/>
    </w:rPr>
  </w:style>
  <w:style w:type="paragraph" w:styleId="Footer">
    <w:name w:val="footer"/>
    <w:basedOn w:val="Normal"/>
    <w:link w:val="FooterChar"/>
    <w:uiPriority w:val="99"/>
    <w:rsid w:val="002C1E7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C1E78"/>
    <w:rPr>
      <w:rFonts w:ascii="Calibri" w:hAnsi="Calibri" w:cs="Times New Roman"/>
    </w:rPr>
  </w:style>
  <w:style w:type="paragraph" w:customStyle="1" w:styleId="TAMainText">
    <w:name w:val="TA_Main_Text"/>
    <w:basedOn w:val="Normal"/>
    <w:uiPriority w:val="99"/>
    <w:rsid w:val="002C1E78"/>
    <w:pPr>
      <w:spacing w:after="0" w:line="480" w:lineRule="auto"/>
      <w:ind w:firstLine="202"/>
      <w:jc w:val="both"/>
    </w:pPr>
    <w:rPr>
      <w:rFonts w:ascii="Times" w:eastAsia="Times New Roman" w:hAnsi="Times"/>
      <w:sz w:val="24"/>
      <w:szCs w:val="20"/>
      <w:lang w:val="en-US"/>
    </w:rPr>
  </w:style>
  <w:style w:type="paragraph" w:styleId="HTMLPreformatted">
    <w:name w:val="HTML Preformatted"/>
    <w:basedOn w:val="Normal"/>
    <w:link w:val="HTMLPreformattedChar"/>
    <w:uiPriority w:val="99"/>
    <w:rsid w:val="002C1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locked/>
    <w:rsid w:val="002C1E78"/>
    <w:rPr>
      <w:rFonts w:ascii="Courier New" w:hAnsi="Courier New" w:cs="Times New Roman"/>
      <w:sz w:val="20"/>
      <w:szCs w:val="20"/>
    </w:rPr>
  </w:style>
  <w:style w:type="character" w:customStyle="1" w:styleId="element-citation">
    <w:name w:val="element-citation"/>
    <w:basedOn w:val="DefaultParagraphFont"/>
    <w:uiPriority w:val="99"/>
    <w:rsid w:val="00762155"/>
    <w:rPr>
      <w:rFonts w:cs="Times New Roman"/>
    </w:rPr>
  </w:style>
  <w:style w:type="paragraph" w:styleId="Header">
    <w:name w:val="header"/>
    <w:basedOn w:val="Normal"/>
    <w:link w:val="HeaderChar"/>
    <w:uiPriority w:val="99"/>
    <w:rsid w:val="008C2012"/>
    <w:pPr>
      <w:tabs>
        <w:tab w:val="center" w:pos="4819"/>
        <w:tab w:val="right" w:pos="9638"/>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8C2012"/>
    <w:rPr>
      <w:rFonts w:cs="Times New Roman"/>
    </w:rPr>
  </w:style>
</w:styles>
</file>

<file path=word/webSettings.xml><?xml version="1.0" encoding="utf-8"?>
<w:webSettings xmlns:r="http://schemas.openxmlformats.org/officeDocument/2006/relationships" xmlns:w="http://schemas.openxmlformats.org/wordprocessingml/2006/main">
  <w:divs>
    <w:div w:id="137766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4</Pages>
  <Words>1049</Words>
  <Characters>5981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marco.montagnani</cp:lastModifiedBy>
  <cp:revision>14</cp:revision>
  <dcterms:created xsi:type="dcterms:W3CDTF">2012-05-11T17:30:00Z</dcterms:created>
  <dcterms:modified xsi:type="dcterms:W3CDTF">2012-08-11T10:42:00Z</dcterms:modified>
</cp:coreProperties>
</file>