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1617"/>
        <w:gridCol w:w="3335"/>
        <w:gridCol w:w="2695"/>
      </w:tblGrid>
      <w:tr w:rsidR="00741291" w:rsidRPr="00BE2235" w:rsidTr="00741291">
        <w:tc>
          <w:tcPr>
            <w:tcW w:w="115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b/>
                <w:bCs/>
                <w:sz w:val="22"/>
                <w:szCs w:val="22"/>
                <w:lang w:eastAsia="zh-TW"/>
              </w:rPr>
            </w:pPr>
            <w:bookmarkStart w:id="0" w:name="_GoBack"/>
            <w:r w:rsidRPr="00BE2235">
              <w:rPr>
                <w:rFonts w:ascii="Calibri" w:eastAsia="PMingLiU" w:hAnsi="Calibri"/>
                <w:b/>
                <w:bCs/>
                <w:sz w:val="22"/>
                <w:szCs w:val="22"/>
                <w:lang w:eastAsia="zh-TW"/>
              </w:rPr>
              <w:t>Drug</w:t>
            </w:r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b/>
                <w:bCs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b/>
                <w:bCs/>
                <w:sz w:val="22"/>
                <w:szCs w:val="22"/>
                <w:lang w:eastAsia="zh-TW"/>
              </w:rPr>
              <w:t>Relation to target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b/>
                <w:bCs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b/>
                <w:bCs/>
                <w:sz w:val="22"/>
                <w:szCs w:val="22"/>
                <w:lang w:eastAsia="zh-TW"/>
              </w:rPr>
              <w:t>Knowledge about target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b/>
                <w:bCs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b/>
                <w:bCs/>
                <w:sz w:val="22"/>
                <w:szCs w:val="22"/>
                <w:lang w:eastAsia="zh-TW"/>
              </w:rPr>
              <w:t>Evidence</w:t>
            </w: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capecitabine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TYMS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cladribine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PNP inducer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PNP positively regulates cell proliferation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PNP: positive regulation of T cell proliferation</w:t>
            </w: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 xml:space="preserve"> (GO:0042102)</w:t>
            </w: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cladribine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RRM2B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RRM2B positively regulates apoptosis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RRM2B: induction of apoptosis (</w:t>
            </w: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GO:0006917)</w:t>
            </w: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cladribine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POLE3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cladribine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POLA1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cladribine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POLE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cladribine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POLE2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cladribine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POLE4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cladribine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RRM1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RRM1 suppresses tumor activity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 xml:space="preserve">“ectopic expression of RRM1 suppresses proliferation of </w:t>
            </w:r>
            <w:proofErr w:type="spellStart"/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ras</w:t>
            </w:r>
            <w:proofErr w:type="spellEnd"/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-transformed mouse fibroblasts, and high levels of RRM1 expression are associated with a significant survival benefit in patients with lung cancer” (PMID: 16818620)</w:t>
            </w: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cladribine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RRM2B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RRM2B positively regulates apoptosis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induction of apoptosis (</w:t>
            </w: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GO:0006917)</w:t>
            </w: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clofarabine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POLA1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clofarabine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RRM1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RRM1 suppresses tumor activity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 xml:space="preserve">“ectopic expression of RRM1 suppresses proliferation of </w:t>
            </w:r>
            <w:proofErr w:type="spellStart"/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ras</w:t>
            </w:r>
            <w:proofErr w:type="spellEnd"/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-transformed mouse fibroblasts, and high levels of RRM1 expression are associated with a significant survival benefit in patients with lung cancer” (PMID: 16818620)</w:t>
            </w: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Denileukin</w:t>
            </w:r>
            <w:proofErr w:type="spellEnd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4331B">
              <w:rPr>
                <w:rFonts w:ascii="Calibri" w:eastAsia="PMingLiU" w:hAnsi="Calibri"/>
                <w:bCs/>
                <w:sz w:val="22"/>
                <w:szCs w:val="22"/>
                <w:lang w:eastAsia="zh-TW"/>
              </w:rPr>
              <w:t>diftitox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IL2RB inducer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IL2RB negatively regulates apoptosis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IL2RB: positive regulation of survival gene product expression (GO:0045885)</w:t>
            </w: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color w:val="000000"/>
                <w:sz w:val="22"/>
                <w:szCs w:val="22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color w:val="000000"/>
                <w:lang w:eastAsia="zh-TW"/>
              </w:rPr>
              <w:t>E</w:t>
            </w:r>
            <w:r w:rsidRPr="00E4331B">
              <w:rPr>
                <w:rFonts w:ascii="Calibri" w:eastAsia="PMingLiU" w:hAnsi="Calibri"/>
                <w:bCs/>
                <w:color w:val="000000"/>
                <w:sz w:val="22"/>
                <w:szCs w:val="22"/>
                <w:lang w:eastAsia="zh-TW"/>
              </w:rPr>
              <w:t>pirubicin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lang w:eastAsia="zh-TW"/>
              </w:rPr>
              <w:t xml:space="preserve">CDH1 </w:t>
            </w: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color w:val="000000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color w:val="000000"/>
                <w:lang w:eastAsia="zh-TW"/>
              </w:rPr>
              <w:t>F</w:t>
            </w:r>
            <w:r w:rsidRPr="00E4331B">
              <w:rPr>
                <w:rFonts w:ascii="Calibri" w:eastAsia="PMingLiU" w:hAnsi="Calibri"/>
                <w:bCs/>
                <w:color w:val="000000"/>
                <w:sz w:val="22"/>
                <w:szCs w:val="22"/>
                <w:lang w:eastAsia="zh-TW"/>
              </w:rPr>
              <w:t>loxuridine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TYMS</w:t>
            </w:r>
            <w:r w:rsidRPr="00BE2235">
              <w:rPr>
                <w:rFonts w:ascii="Calibri" w:eastAsia="PMingLiU" w:hAnsi="Calibri"/>
                <w:color w:val="000000"/>
                <w:lang w:eastAsia="zh-TW"/>
              </w:rPr>
              <w:t xml:space="preserve">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color w:val="000000"/>
                <w:lang w:eastAsia="zh-TW"/>
              </w:rPr>
            </w:pPr>
            <w:r w:rsidRPr="00E4331B">
              <w:rPr>
                <w:rFonts w:ascii="Calibri" w:eastAsia="PMingLiU" w:hAnsi="Calibri"/>
                <w:bCs/>
                <w:color w:val="000000"/>
                <w:lang w:eastAsia="zh-TW"/>
              </w:rPr>
              <w:t>G</w:t>
            </w:r>
            <w:r w:rsidRPr="00E4331B">
              <w:rPr>
                <w:rFonts w:ascii="Calibri" w:eastAsia="PMingLiU" w:hAnsi="Calibri"/>
                <w:bCs/>
                <w:color w:val="000000"/>
                <w:sz w:val="22"/>
                <w:szCs w:val="22"/>
                <w:lang w:eastAsia="zh-TW"/>
              </w:rPr>
              <w:t>emcitabine</w:t>
            </w:r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RRM1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RRM1 suppresses tumor activity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 xml:space="preserve">“ectopic expression of RRM1 suppresses proliferation of </w:t>
            </w:r>
            <w:proofErr w:type="spellStart"/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ras</w:t>
            </w:r>
            <w:proofErr w:type="spellEnd"/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 xml:space="preserve">-transformed mouse fibroblasts, and high levels </w:t>
            </w: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lastRenderedPageBreak/>
              <w:t>of RRM1 expression are associated with a significant survival benefit in patients with lung cancer” (PMID: 16818620)</w:t>
            </w: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color w:val="000000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color w:val="000000"/>
                <w:lang w:eastAsia="zh-TW"/>
              </w:rPr>
              <w:lastRenderedPageBreak/>
              <w:t>H</w:t>
            </w:r>
            <w:r w:rsidRPr="00E4331B">
              <w:rPr>
                <w:rFonts w:ascii="Calibri" w:eastAsia="PMingLiU" w:hAnsi="Calibri"/>
                <w:bCs/>
                <w:color w:val="000000"/>
                <w:sz w:val="22"/>
                <w:szCs w:val="22"/>
                <w:lang w:eastAsia="zh-TW"/>
              </w:rPr>
              <w:t>ydroxyurea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RRM1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RRM1 suppresses tumor activity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 xml:space="preserve">“ectopic expression of RRM1 suppresses proliferation of </w:t>
            </w:r>
            <w:proofErr w:type="spellStart"/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ras</w:t>
            </w:r>
            <w:proofErr w:type="spellEnd"/>
            <w:r w:rsidRPr="00BE2235">
              <w:rPr>
                <w:rFonts w:ascii="Calibri" w:eastAsia="PMingLiU" w:hAnsi="Calibri"/>
                <w:sz w:val="22"/>
                <w:szCs w:val="22"/>
                <w:lang w:eastAsia="zh-TW"/>
              </w:rPr>
              <w:t>-transformed mouse fibroblasts, and high levels of RRM1 expression are associated with a significant survival benefit in patients with lung cancer” (PMID: 16818620)</w:t>
            </w: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color w:val="000000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color w:val="000000"/>
                <w:lang w:eastAsia="zh-TW"/>
              </w:rPr>
              <w:t>I</w:t>
            </w:r>
            <w:r w:rsidRPr="00E4331B">
              <w:rPr>
                <w:rFonts w:ascii="Calibri" w:eastAsia="PMingLiU" w:hAnsi="Calibri"/>
                <w:bCs/>
                <w:color w:val="000000"/>
                <w:sz w:val="22"/>
                <w:szCs w:val="22"/>
                <w:lang w:eastAsia="zh-TW"/>
              </w:rPr>
              <w:t>miquimod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TLR7</w:t>
            </w:r>
            <w:r w:rsidRPr="00BE2235">
              <w:rPr>
                <w:rFonts w:ascii="Calibri" w:eastAsia="PMingLiU" w:hAnsi="Calibri"/>
                <w:color w:val="000000"/>
                <w:lang w:eastAsia="zh-TW"/>
              </w:rPr>
              <w:t xml:space="preserve"> inducer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color w:val="000000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color w:val="000000"/>
                <w:lang w:eastAsia="zh-TW"/>
              </w:rPr>
              <w:t>L</w:t>
            </w:r>
            <w:r w:rsidRPr="00E4331B">
              <w:rPr>
                <w:rFonts w:ascii="Calibri" w:eastAsia="PMingLiU" w:hAnsi="Calibri"/>
                <w:bCs/>
                <w:color w:val="000000"/>
                <w:sz w:val="22"/>
                <w:szCs w:val="22"/>
                <w:lang w:eastAsia="zh-TW"/>
              </w:rPr>
              <w:t>eucovorin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TYMS</w:t>
            </w:r>
            <w:r w:rsidRPr="00BE2235">
              <w:rPr>
                <w:rFonts w:ascii="Calibri" w:eastAsia="PMingLiU" w:hAnsi="Calibri"/>
                <w:color w:val="000000"/>
                <w:lang w:eastAsia="zh-TW"/>
              </w:rPr>
              <w:t xml:space="preserve">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color w:val="000000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color w:val="000000"/>
                <w:lang w:eastAsia="zh-TW"/>
              </w:rPr>
              <w:t>L</w:t>
            </w:r>
            <w:r w:rsidRPr="00E4331B">
              <w:rPr>
                <w:rFonts w:ascii="Calibri" w:eastAsia="PMingLiU" w:hAnsi="Calibri"/>
                <w:bCs/>
                <w:color w:val="000000"/>
                <w:sz w:val="22"/>
                <w:szCs w:val="22"/>
                <w:lang w:eastAsia="zh-TW"/>
              </w:rPr>
              <w:t>evamisole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CHRNA3</w:t>
            </w:r>
            <w:r w:rsidRPr="00BE2235">
              <w:rPr>
                <w:rFonts w:ascii="Calibri" w:eastAsia="PMingLiU" w:hAnsi="Calibri"/>
                <w:color w:val="000000"/>
                <w:lang w:eastAsia="zh-TW"/>
              </w:rPr>
              <w:t xml:space="preserve"> inducer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color w:val="000000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color w:val="000000"/>
                <w:lang w:eastAsia="zh-TW"/>
              </w:rPr>
              <w:t>P</w:t>
            </w:r>
            <w:r w:rsidRPr="00E4331B">
              <w:rPr>
                <w:rFonts w:ascii="Calibri" w:eastAsia="PMingLiU" w:hAnsi="Calibri"/>
                <w:bCs/>
                <w:color w:val="000000"/>
                <w:sz w:val="22"/>
                <w:szCs w:val="22"/>
                <w:lang w:eastAsia="zh-TW"/>
              </w:rPr>
              <w:t>egfilgrastim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CSF3R</w:t>
            </w:r>
            <w:r w:rsidRPr="00BE2235">
              <w:rPr>
                <w:rFonts w:ascii="Calibri" w:eastAsia="PMingLiU" w:hAnsi="Calibri"/>
                <w:color w:val="000000"/>
                <w:lang w:eastAsia="zh-TW"/>
              </w:rPr>
              <w:t xml:space="preserve"> inducer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color w:val="000000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color w:val="000000"/>
                <w:lang w:eastAsia="zh-TW"/>
              </w:rPr>
              <w:t>V</w:t>
            </w:r>
            <w:r w:rsidRPr="00E4331B">
              <w:rPr>
                <w:rFonts w:ascii="Calibri" w:eastAsia="PMingLiU" w:hAnsi="Calibri"/>
                <w:bCs/>
                <w:color w:val="000000"/>
                <w:sz w:val="22"/>
                <w:szCs w:val="22"/>
                <w:lang w:eastAsia="zh-TW"/>
              </w:rPr>
              <w:t>indesine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TUBB1</w:t>
            </w:r>
            <w:r w:rsidRPr="00BE2235">
              <w:rPr>
                <w:rFonts w:ascii="Calibri" w:eastAsia="PMingLiU" w:hAnsi="Calibri"/>
                <w:color w:val="000000"/>
                <w:lang w:eastAsia="zh-TW"/>
              </w:rPr>
              <w:t xml:space="preserve">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lang w:eastAsia="zh-TW"/>
              </w:rPr>
              <w:t>Not captured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41291" w:rsidRPr="00BE2235" w:rsidTr="00741291">
        <w:tc>
          <w:tcPr>
            <w:tcW w:w="1155" w:type="dxa"/>
          </w:tcPr>
          <w:p w:rsidR="00741291" w:rsidRPr="00E4331B" w:rsidRDefault="00741291" w:rsidP="00A01F2E">
            <w:pPr>
              <w:rPr>
                <w:rFonts w:ascii="Calibri" w:eastAsia="PMingLiU" w:hAnsi="Calibri"/>
                <w:bCs/>
                <w:color w:val="000000"/>
                <w:lang w:eastAsia="zh-TW"/>
              </w:rPr>
            </w:pPr>
            <w:proofErr w:type="spellStart"/>
            <w:r w:rsidRPr="00E4331B">
              <w:rPr>
                <w:rFonts w:ascii="Calibri" w:eastAsia="PMingLiU" w:hAnsi="Calibri"/>
                <w:bCs/>
                <w:color w:val="000000"/>
                <w:lang w:eastAsia="zh-TW"/>
              </w:rPr>
              <w:t>V</w:t>
            </w:r>
            <w:r w:rsidRPr="00E4331B">
              <w:rPr>
                <w:rFonts w:ascii="Calibri" w:eastAsia="PMingLiU" w:hAnsi="Calibri"/>
                <w:bCs/>
                <w:color w:val="000000"/>
                <w:sz w:val="22"/>
                <w:szCs w:val="22"/>
                <w:lang w:eastAsia="zh-TW"/>
              </w:rPr>
              <w:t>inorelbine</w:t>
            </w:r>
            <w:proofErr w:type="spellEnd"/>
          </w:p>
        </w:tc>
        <w:tc>
          <w:tcPr>
            <w:tcW w:w="1617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TUBB</w:t>
            </w:r>
            <w:r w:rsidRPr="00BE2235">
              <w:rPr>
                <w:rFonts w:ascii="Calibri" w:eastAsia="PMingLiU" w:hAnsi="Calibri"/>
                <w:color w:val="000000"/>
                <w:lang w:eastAsia="zh-TW"/>
              </w:rPr>
              <w:t xml:space="preserve"> inhibitor</w:t>
            </w:r>
          </w:p>
        </w:tc>
        <w:tc>
          <w:tcPr>
            <w:tcW w:w="333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lang w:eastAsia="zh-TW"/>
              </w:rPr>
              <w:t>TUBB positively regulars apoptosis</w:t>
            </w:r>
          </w:p>
        </w:tc>
        <w:tc>
          <w:tcPr>
            <w:tcW w:w="2695" w:type="dxa"/>
          </w:tcPr>
          <w:p w:rsidR="00741291" w:rsidRPr="00BE2235" w:rsidRDefault="00741291" w:rsidP="00A01F2E">
            <w:pPr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</w:pPr>
            <w:r w:rsidRPr="00BE2235">
              <w:rPr>
                <w:rFonts w:ascii="Calibri" w:eastAsia="PMingLiU" w:hAnsi="Calibri"/>
                <w:color w:val="000000"/>
                <w:lang w:eastAsia="zh-TW"/>
              </w:rPr>
              <w:t xml:space="preserve">TUBB: </w:t>
            </w:r>
            <w:r w:rsidRPr="00BE2235">
              <w:rPr>
                <w:rFonts w:ascii="Calibri" w:eastAsia="PMingLiU" w:hAnsi="Calibri"/>
                <w:color w:val="000000"/>
                <w:sz w:val="22"/>
                <w:szCs w:val="22"/>
                <w:lang w:eastAsia="zh-TW"/>
              </w:rPr>
              <w:t>natural killer cell mediated cytotoxicity (GO:0042267)</w:t>
            </w:r>
          </w:p>
        </w:tc>
      </w:tr>
      <w:bookmarkEnd w:id="0"/>
    </w:tbl>
    <w:p w:rsidR="00741291" w:rsidRDefault="00741291" w:rsidP="00741291"/>
    <w:p w:rsidR="00C25332" w:rsidRDefault="00C25332"/>
    <w:sectPr w:rsidR="00C2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91"/>
    <w:rsid w:val="00741291"/>
    <w:rsid w:val="00C2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41291"/>
    <w:pPr>
      <w:spacing w:after="0" w:line="240" w:lineRule="auto"/>
    </w:pPr>
    <w:rPr>
      <w:rFonts w:ascii="Calibri" w:eastAsia="PMingLiU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4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41291"/>
    <w:pPr>
      <w:spacing w:after="0" w:line="240" w:lineRule="auto"/>
    </w:pPr>
    <w:rPr>
      <w:rFonts w:ascii="Calibri" w:eastAsia="PMingLiU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4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Tari</dc:creator>
  <cp:lastModifiedBy>Luis Tari</cp:lastModifiedBy>
  <cp:revision>1</cp:revision>
  <dcterms:created xsi:type="dcterms:W3CDTF">2012-06-29T02:46:00Z</dcterms:created>
  <dcterms:modified xsi:type="dcterms:W3CDTF">2012-06-29T02:47:00Z</dcterms:modified>
</cp:coreProperties>
</file>