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83" w:rsidRDefault="00896983" w:rsidP="00896983">
      <w:pPr>
        <w:spacing w:line="480" w:lineRule="auto"/>
        <w:rPr>
          <w:b/>
          <w:sz w:val="22"/>
          <w:szCs w:val="22"/>
        </w:rPr>
      </w:pPr>
      <w:r w:rsidRPr="001D69C0">
        <w:rPr>
          <w:b/>
          <w:bCs/>
          <w:sz w:val="22"/>
          <w:szCs w:val="22"/>
        </w:rPr>
        <w:t>Di-4-ANEPPDHQ loading and imaging in cultured DRG neurons.</w:t>
      </w:r>
      <w:r>
        <w:rPr>
          <w:b/>
          <w:sz w:val="22"/>
          <w:szCs w:val="22"/>
        </w:rPr>
        <w:t xml:space="preserve"> </w:t>
      </w:r>
    </w:p>
    <w:p w:rsidR="00896983" w:rsidRDefault="00896983" w:rsidP="00896983">
      <w:pPr>
        <w:spacing w:line="480" w:lineRule="auto"/>
        <w:rPr>
          <w:bCs/>
          <w:sz w:val="22"/>
          <w:szCs w:val="22"/>
        </w:rPr>
      </w:pPr>
      <w:r w:rsidRPr="001D69C0">
        <w:rPr>
          <w:bCs/>
          <w:sz w:val="22"/>
          <w:szCs w:val="22"/>
        </w:rPr>
        <w:t>Di-4-ANEPPDHQ (</w:t>
      </w:r>
      <w:proofErr w:type="spellStart"/>
      <w:r w:rsidRPr="001D69C0">
        <w:rPr>
          <w:bCs/>
          <w:sz w:val="22"/>
          <w:szCs w:val="22"/>
        </w:rPr>
        <w:t>Invitrogen</w:t>
      </w:r>
      <w:proofErr w:type="spellEnd"/>
      <w:r w:rsidRPr="001D69C0">
        <w:rPr>
          <w:bCs/>
          <w:sz w:val="22"/>
          <w:szCs w:val="22"/>
        </w:rPr>
        <w:t xml:space="preserve">) was dissolved in 96% </w:t>
      </w:r>
      <w:proofErr w:type="spellStart"/>
      <w:r w:rsidRPr="001D69C0">
        <w:rPr>
          <w:bCs/>
          <w:sz w:val="22"/>
          <w:szCs w:val="22"/>
        </w:rPr>
        <w:t>EtOH</w:t>
      </w:r>
      <w:proofErr w:type="spellEnd"/>
      <w:r w:rsidRPr="001D69C0">
        <w:rPr>
          <w:bCs/>
          <w:sz w:val="22"/>
          <w:szCs w:val="22"/>
        </w:rPr>
        <w:t xml:space="preserve"> to a final concentration of 0.2 </w:t>
      </w:r>
      <w:proofErr w:type="spellStart"/>
      <w:r w:rsidRPr="001D69C0">
        <w:rPr>
          <w:bCs/>
          <w:sz w:val="22"/>
          <w:szCs w:val="22"/>
        </w:rPr>
        <w:t>mM</w:t>
      </w:r>
      <w:proofErr w:type="spellEnd"/>
      <w:r w:rsidRPr="001D69C0">
        <w:rPr>
          <w:bCs/>
          <w:sz w:val="22"/>
          <w:szCs w:val="22"/>
        </w:rPr>
        <w:t xml:space="preserve"> and stored at 4</w:t>
      </w:r>
      <w:r w:rsidRPr="001D69C0">
        <w:rPr>
          <w:bCs/>
          <w:sz w:val="22"/>
          <w:szCs w:val="22"/>
          <w:lang w:val="en-US"/>
        </w:rPr>
        <w:t xml:space="preserve">°C in the dark. </w:t>
      </w:r>
      <w:r w:rsidRPr="001D69C0">
        <w:rPr>
          <w:bCs/>
          <w:sz w:val="22"/>
          <w:szCs w:val="22"/>
        </w:rPr>
        <w:t xml:space="preserve">DRG neurons were </w:t>
      </w:r>
      <w:r>
        <w:rPr>
          <w:bCs/>
          <w:sz w:val="22"/>
          <w:szCs w:val="22"/>
        </w:rPr>
        <w:t xml:space="preserve">left untreated or </w:t>
      </w:r>
      <w:r w:rsidRPr="001D69C0">
        <w:rPr>
          <w:bCs/>
          <w:sz w:val="22"/>
          <w:szCs w:val="22"/>
        </w:rPr>
        <w:t>treated with 7KC, cholesterol and M</w:t>
      </w:r>
      <w:r>
        <w:rPr>
          <w:rFonts w:ascii="Symbol" w:hAnsi="Symbol"/>
          <w:bCs/>
          <w:sz w:val="22"/>
          <w:szCs w:val="22"/>
        </w:rPr>
        <w:t></w:t>
      </w:r>
      <w:r w:rsidRPr="001D69C0">
        <w:rPr>
          <w:bCs/>
          <w:sz w:val="22"/>
          <w:szCs w:val="22"/>
        </w:rPr>
        <w:t xml:space="preserve">CD as </w:t>
      </w:r>
      <w:r>
        <w:rPr>
          <w:bCs/>
          <w:sz w:val="22"/>
          <w:szCs w:val="22"/>
        </w:rPr>
        <w:t xml:space="preserve">previously </w:t>
      </w:r>
      <w:r w:rsidRPr="001D69C0">
        <w:rPr>
          <w:bCs/>
          <w:sz w:val="22"/>
          <w:szCs w:val="22"/>
        </w:rPr>
        <w:t xml:space="preserve">described. After the different treatments cells were washed </w:t>
      </w:r>
      <w:r>
        <w:rPr>
          <w:bCs/>
          <w:sz w:val="22"/>
          <w:szCs w:val="22"/>
        </w:rPr>
        <w:t xml:space="preserve">and </w:t>
      </w:r>
      <w:r w:rsidRPr="001D69C0">
        <w:rPr>
          <w:bCs/>
          <w:sz w:val="22"/>
          <w:szCs w:val="22"/>
        </w:rPr>
        <w:t xml:space="preserve">incubated with 4 </w:t>
      </w:r>
      <w:r w:rsidRPr="001D69C0">
        <w:rPr>
          <w:bCs/>
          <w:sz w:val="22"/>
          <w:szCs w:val="22"/>
          <w:lang w:val="el-GR"/>
        </w:rPr>
        <w:t>μ</w:t>
      </w:r>
      <w:r w:rsidRPr="001D69C0">
        <w:rPr>
          <w:bCs/>
          <w:sz w:val="22"/>
          <w:szCs w:val="22"/>
        </w:rPr>
        <w:t>M di-4-ANEPPDHQ for 10</w:t>
      </w:r>
      <w:r>
        <w:rPr>
          <w:bCs/>
          <w:sz w:val="22"/>
          <w:szCs w:val="22"/>
        </w:rPr>
        <w:t xml:space="preserve"> min</w:t>
      </w:r>
      <w:r w:rsidRPr="001D69C0">
        <w:rPr>
          <w:bCs/>
          <w:sz w:val="22"/>
          <w:szCs w:val="22"/>
        </w:rPr>
        <w:t xml:space="preserve"> at 37</w:t>
      </w:r>
      <w:r w:rsidRPr="001D69C0">
        <w:rPr>
          <w:bCs/>
          <w:sz w:val="22"/>
          <w:szCs w:val="22"/>
          <w:lang w:val="en-US"/>
        </w:rPr>
        <w:t xml:space="preserve">°C in the dark. Cells were imaged under a </w:t>
      </w:r>
      <w:proofErr w:type="spellStart"/>
      <w:r w:rsidRPr="001D69C0">
        <w:rPr>
          <w:bCs/>
          <w:sz w:val="22"/>
          <w:szCs w:val="22"/>
        </w:rPr>
        <w:t>Leica</w:t>
      </w:r>
      <w:proofErr w:type="spellEnd"/>
      <w:r w:rsidRPr="001D69C0">
        <w:rPr>
          <w:bCs/>
          <w:sz w:val="22"/>
          <w:szCs w:val="22"/>
        </w:rPr>
        <w:t xml:space="preserve"> SP5 inverted confocal microscope with a 20x air objective.</w:t>
      </w:r>
      <w:r w:rsidRPr="001D69C0">
        <w:rPr>
          <w:bCs/>
          <w:sz w:val="22"/>
          <w:szCs w:val="22"/>
          <w:lang w:val="en-US"/>
        </w:rPr>
        <w:t xml:space="preserve"> The dye was excited with </w:t>
      </w:r>
      <w:r w:rsidRPr="001D69C0">
        <w:rPr>
          <w:bCs/>
          <w:sz w:val="22"/>
          <w:szCs w:val="22"/>
        </w:rPr>
        <w:t xml:space="preserve">a 476 nm Argon laser line. Emission spectra were constructed by performing a </w:t>
      </w:r>
      <w:r w:rsidRPr="001D69C0">
        <w:rPr>
          <w:bCs/>
          <w:sz w:val="22"/>
          <w:szCs w:val="22"/>
          <w:lang w:val="el-GR"/>
        </w:rPr>
        <w:t>λ</w:t>
      </w:r>
      <w:r w:rsidRPr="001D69C0">
        <w:rPr>
          <w:bCs/>
          <w:sz w:val="22"/>
          <w:szCs w:val="22"/>
        </w:rPr>
        <w:t xml:space="preserve"> scan.</w:t>
      </w:r>
      <w:r>
        <w:rPr>
          <w:bCs/>
          <w:sz w:val="22"/>
          <w:szCs w:val="22"/>
        </w:rPr>
        <w:t xml:space="preserve"> T</w:t>
      </w:r>
      <w:r w:rsidRPr="001D69C0">
        <w:rPr>
          <w:bCs/>
          <w:sz w:val="22"/>
          <w:szCs w:val="22"/>
        </w:rPr>
        <w:t xml:space="preserve">he fluorescence intensity was recorded across the visible spectrum in the range 510-690 nm with 19 readings. </w:t>
      </w:r>
      <w:r>
        <w:rPr>
          <w:bCs/>
          <w:sz w:val="22"/>
          <w:szCs w:val="22"/>
        </w:rPr>
        <w:t xml:space="preserve">Fluorescence </w:t>
      </w:r>
      <w:r w:rsidRPr="00D65B87">
        <w:rPr>
          <w:bCs/>
          <w:sz w:val="22"/>
          <w:szCs w:val="22"/>
        </w:rPr>
        <w:t>intensities were automatically plotted against the respective range of the spectrum they were recorded from</w:t>
      </w:r>
      <w:r>
        <w:rPr>
          <w:bCs/>
          <w:sz w:val="22"/>
          <w:szCs w:val="22"/>
        </w:rPr>
        <w:t xml:space="preserve"> t</w:t>
      </w:r>
      <w:r w:rsidRPr="001D69C0">
        <w:rPr>
          <w:bCs/>
          <w:sz w:val="22"/>
          <w:szCs w:val="22"/>
        </w:rPr>
        <w:t>o build the emission spectra at the end of the scan</w:t>
      </w:r>
      <w:r>
        <w:rPr>
          <w:bCs/>
          <w:sz w:val="22"/>
          <w:szCs w:val="22"/>
        </w:rPr>
        <w:t xml:space="preserve">. Emission </w:t>
      </w:r>
      <w:proofErr w:type="gramStart"/>
      <w:r>
        <w:rPr>
          <w:bCs/>
          <w:sz w:val="22"/>
          <w:szCs w:val="22"/>
        </w:rPr>
        <w:t>maxima was</w:t>
      </w:r>
      <w:proofErr w:type="gramEnd"/>
      <w:r>
        <w:rPr>
          <w:bCs/>
          <w:sz w:val="22"/>
          <w:szCs w:val="22"/>
        </w:rPr>
        <w:t xml:space="preserve"> defined as the wavelength associated with the highest fluorescence intensity measured in the 19</w:t>
      </w:r>
      <w:r w:rsidRPr="001D69C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readings.</w:t>
      </w:r>
    </w:p>
    <w:p w:rsidR="00842A02" w:rsidRPr="00896983" w:rsidRDefault="00842A02" w:rsidP="00D23B68">
      <w:pPr>
        <w:spacing w:line="480" w:lineRule="auto"/>
        <w:rPr>
          <w:bCs/>
          <w:sz w:val="22"/>
          <w:szCs w:val="22"/>
        </w:rPr>
      </w:pPr>
    </w:p>
    <w:sectPr w:rsidR="00842A02" w:rsidRPr="00896983" w:rsidSect="00B60EE2">
      <w:pgSz w:w="11906" w:h="16838" w:code="9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e.enl&lt;/item&gt;&lt;/Libraries&gt;&lt;/ENLibraries&gt;"/>
  </w:docVars>
  <w:rsids>
    <w:rsidRoot w:val="00EA0BFC"/>
    <w:rsid w:val="000169C5"/>
    <w:rsid w:val="00024B34"/>
    <w:rsid w:val="0002676D"/>
    <w:rsid w:val="000330AD"/>
    <w:rsid w:val="00043677"/>
    <w:rsid w:val="0005182F"/>
    <w:rsid w:val="00056107"/>
    <w:rsid w:val="0006483E"/>
    <w:rsid w:val="00064CCF"/>
    <w:rsid w:val="000705ED"/>
    <w:rsid w:val="00075403"/>
    <w:rsid w:val="00075E06"/>
    <w:rsid w:val="00085F51"/>
    <w:rsid w:val="00094378"/>
    <w:rsid w:val="000971BC"/>
    <w:rsid w:val="000A05AE"/>
    <w:rsid w:val="000A29AD"/>
    <w:rsid w:val="000B1C2D"/>
    <w:rsid w:val="000B7228"/>
    <w:rsid w:val="000B7B72"/>
    <w:rsid w:val="000C3D88"/>
    <w:rsid w:val="000D0DE6"/>
    <w:rsid w:val="000D5849"/>
    <w:rsid w:val="000E6E7F"/>
    <w:rsid w:val="000E7EEE"/>
    <w:rsid w:val="000F2662"/>
    <w:rsid w:val="00103E49"/>
    <w:rsid w:val="00114003"/>
    <w:rsid w:val="00115BB4"/>
    <w:rsid w:val="00121305"/>
    <w:rsid w:val="0012195E"/>
    <w:rsid w:val="00123EBB"/>
    <w:rsid w:val="00137D6B"/>
    <w:rsid w:val="00156D62"/>
    <w:rsid w:val="00160FFF"/>
    <w:rsid w:val="00161E45"/>
    <w:rsid w:val="00162D55"/>
    <w:rsid w:val="0016326B"/>
    <w:rsid w:val="00190BC8"/>
    <w:rsid w:val="001917EB"/>
    <w:rsid w:val="00193649"/>
    <w:rsid w:val="001B0BA7"/>
    <w:rsid w:val="001B224D"/>
    <w:rsid w:val="001B279D"/>
    <w:rsid w:val="001B4FE6"/>
    <w:rsid w:val="001B5A2F"/>
    <w:rsid w:val="001C0320"/>
    <w:rsid w:val="001C7094"/>
    <w:rsid w:val="001C71FD"/>
    <w:rsid w:val="001D6BAF"/>
    <w:rsid w:val="001E186A"/>
    <w:rsid w:val="001E23AF"/>
    <w:rsid w:val="001E78F8"/>
    <w:rsid w:val="00205808"/>
    <w:rsid w:val="00211137"/>
    <w:rsid w:val="00213571"/>
    <w:rsid w:val="002135FE"/>
    <w:rsid w:val="0021391F"/>
    <w:rsid w:val="00231B32"/>
    <w:rsid w:val="00234FE9"/>
    <w:rsid w:val="0023574C"/>
    <w:rsid w:val="00240F27"/>
    <w:rsid w:val="00241AC6"/>
    <w:rsid w:val="00243ECD"/>
    <w:rsid w:val="00252E72"/>
    <w:rsid w:val="00254AFB"/>
    <w:rsid w:val="0026105C"/>
    <w:rsid w:val="0026408D"/>
    <w:rsid w:val="00274A01"/>
    <w:rsid w:val="00282AFB"/>
    <w:rsid w:val="002834B4"/>
    <w:rsid w:val="0028401E"/>
    <w:rsid w:val="002A4BE1"/>
    <w:rsid w:val="002B1F4A"/>
    <w:rsid w:val="002B6A28"/>
    <w:rsid w:val="002C2279"/>
    <w:rsid w:val="002C3A8E"/>
    <w:rsid w:val="002D33E8"/>
    <w:rsid w:val="002D4DE2"/>
    <w:rsid w:val="002E3A1E"/>
    <w:rsid w:val="002F4319"/>
    <w:rsid w:val="002F65D3"/>
    <w:rsid w:val="002F79C3"/>
    <w:rsid w:val="003036CC"/>
    <w:rsid w:val="00310F31"/>
    <w:rsid w:val="0031151D"/>
    <w:rsid w:val="00313BC8"/>
    <w:rsid w:val="003173DB"/>
    <w:rsid w:val="0031783D"/>
    <w:rsid w:val="003207D6"/>
    <w:rsid w:val="003220BA"/>
    <w:rsid w:val="00323763"/>
    <w:rsid w:val="003239EE"/>
    <w:rsid w:val="00337929"/>
    <w:rsid w:val="00342742"/>
    <w:rsid w:val="00350378"/>
    <w:rsid w:val="00352FC2"/>
    <w:rsid w:val="00355D6C"/>
    <w:rsid w:val="00357052"/>
    <w:rsid w:val="00363947"/>
    <w:rsid w:val="003659F6"/>
    <w:rsid w:val="0037279F"/>
    <w:rsid w:val="00372FCD"/>
    <w:rsid w:val="00375785"/>
    <w:rsid w:val="00382D1D"/>
    <w:rsid w:val="00384F5F"/>
    <w:rsid w:val="00387AD3"/>
    <w:rsid w:val="00397C0C"/>
    <w:rsid w:val="003A676B"/>
    <w:rsid w:val="003B4AA5"/>
    <w:rsid w:val="003C4916"/>
    <w:rsid w:val="003D1C04"/>
    <w:rsid w:val="003F04A0"/>
    <w:rsid w:val="003F33FF"/>
    <w:rsid w:val="00401380"/>
    <w:rsid w:val="00401EA2"/>
    <w:rsid w:val="0040546F"/>
    <w:rsid w:val="0041280C"/>
    <w:rsid w:val="00414A98"/>
    <w:rsid w:val="00415F9E"/>
    <w:rsid w:val="00416EFE"/>
    <w:rsid w:val="0042070D"/>
    <w:rsid w:val="0042171A"/>
    <w:rsid w:val="00423B86"/>
    <w:rsid w:val="0043795E"/>
    <w:rsid w:val="004474E5"/>
    <w:rsid w:val="00451279"/>
    <w:rsid w:val="004530F4"/>
    <w:rsid w:val="004568DA"/>
    <w:rsid w:val="0046292F"/>
    <w:rsid w:val="00466DD7"/>
    <w:rsid w:val="004819FA"/>
    <w:rsid w:val="00486093"/>
    <w:rsid w:val="004938A2"/>
    <w:rsid w:val="00495437"/>
    <w:rsid w:val="004B09FA"/>
    <w:rsid w:val="004B0FB2"/>
    <w:rsid w:val="004C24B6"/>
    <w:rsid w:val="004C65DB"/>
    <w:rsid w:val="004E1EBC"/>
    <w:rsid w:val="004E1F0A"/>
    <w:rsid w:val="004E510B"/>
    <w:rsid w:val="004F7F88"/>
    <w:rsid w:val="005022DF"/>
    <w:rsid w:val="00503DBD"/>
    <w:rsid w:val="00507A58"/>
    <w:rsid w:val="005110C0"/>
    <w:rsid w:val="00515F99"/>
    <w:rsid w:val="005216C7"/>
    <w:rsid w:val="00524947"/>
    <w:rsid w:val="00537A5B"/>
    <w:rsid w:val="00540823"/>
    <w:rsid w:val="00562BBD"/>
    <w:rsid w:val="0056518D"/>
    <w:rsid w:val="005701F9"/>
    <w:rsid w:val="00577D58"/>
    <w:rsid w:val="00582AA7"/>
    <w:rsid w:val="0059021F"/>
    <w:rsid w:val="0059290B"/>
    <w:rsid w:val="005A0959"/>
    <w:rsid w:val="005B0DA4"/>
    <w:rsid w:val="005B3E63"/>
    <w:rsid w:val="005C3C6E"/>
    <w:rsid w:val="005C45B7"/>
    <w:rsid w:val="005D2A8F"/>
    <w:rsid w:val="005D476C"/>
    <w:rsid w:val="005E4986"/>
    <w:rsid w:val="005E4FB9"/>
    <w:rsid w:val="005E6120"/>
    <w:rsid w:val="005F4C27"/>
    <w:rsid w:val="006009F5"/>
    <w:rsid w:val="00602017"/>
    <w:rsid w:val="00602B9F"/>
    <w:rsid w:val="006128BD"/>
    <w:rsid w:val="006130DD"/>
    <w:rsid w:val="00614530"/>
    <w:rsid w:val="00622EEE"/>
    <w:rsid w:val="00623996"/>
    <w:rsid w:val="00624446"/>
    <w:rsid w:val="00626A1C"/>
    <w:rsid w:val="0063047D"/>
    <w:rsid w:val="00630922"/>
    <w:rsid w:val="006348A9"/>
    <w:rsid w:val="006502EE"/>
    <w:rsid w:val="006522F7"/>
    <w:rsid w:val="00656351"/>
    <w:rsid w:val="00661F73"/>
    <w:rsid w:val="00663B0A"/>
    <w:rsid w:val="0066701E"/>
    <w:rsid w:val="006709D3"/>
    <w:rsid w:val="0067240B"/>
    <w:rsid w:val="00674E12"/>
    <w:rsid w:val="006852CB"/>
    <w:rsid w:val="0069173A"/>
    <w:rsid w:val="006931E8"/>
    <w:rsid w:val="00694030"/>
    <w:rsid w:val="00695497"/>
    <w:rsid w:val="006A3CC0"/>
    <w:rsid w:val="006A4C7D"/>
    <w:rsid w:val="006B5589"/>
    <w:rsid w:val="006C7273"/>
    <w:rsid w:val="006D3873"/>
    <w:rsid w:val="006E0278"/>
    <w:rsid w:val="006E0823"/>
    <w:rsid w:val="006E5FB7"/>
    <w:rsid w:val="006F0D54"/>
    <w:rsid w:val="006F230D"/>
    <w:rsid w:val="00703150"/>
    <w:rsid w:val="0071076F"/>
    <w:rsid w:val="00710D66"/>
    <w:rsid w:val="0071251F"/>
    <w:rsid w:val="00712CF0"/>
    <w:rsid w:val="0072305A"/>
    <w:rsid w:val="00726E36"/>
    <w:rsid w:val="0073303C"/>
    <w:rsid w:val="007459F7"/>
    <w:rsid w:val="0074603B"/>
    <w:rsid w:val="007513A1"/>
    <w:rsid w:val="007531C7"/>
    <w:rsid w:val="007636FA"/>
    <w:rsid w:val="007637EA"/>
    <w:rsid w:val="00774FD2"/>
    <w:rsid w:val="007762DC"/>
    <w:rsid w:val="00776D71"/>
    <w:rsid w:val="007837E4"/>
    <w:rsid w:val="0078763B"/>
    <w:rsid w:val="00791399"/>
    <w:rsid w:val="00796031"/>
    <w:rsid w:val="007A1498"/>
    <w:rsid w:val="007B539D"/>
    <w:rsid w:val="007C0946"/>
    <w:rsid w:val="007C1F89"/>
    <w:rsid w:val="007C5763"/>
    <w:rsid w:val="007C6791"/>
    <w:rsid w:val="007D216E"/>
    <w:rsid w:val="007D5EFE"/>
    <w:rsid w:val="007D7205"/>
    <w:rsid w:val="007E0386"/>
    <w:rsid w:val="007E7691"/>
    <w:rsid w:val="007F3140"/>
    <w:rsid w:val="008109C6"/>
    <w:rsid w:val="0081287F"/>
    <w:rsid w:val="00813FDB"/>
    <w:rsid w:val="00814C5C"/>
    <w:rsid w:val="008175B1"/>
    <w:rsid w:val="00820D0E"/>
    <w:rsid w:val="00821C86"/>
    <w:rsid w:val="00823408"/>
    <w:rsid w:val="00824A8F"/>
    <w:rsid w:val="00827BDA"/>
    <w:rsid w:val="00840EA7"/>
    <w:rsid w:val="00841844"/>
    <w:rsid w:val="00842A02"/>
    <w:rsid w:val="008443E0"/>
    <w:rsid w:val="00846733"/>
    <w:rsid w:val="00846D53"/>
    <w:rsid w:val="00847F7F"/>
    <w:rsid w:val="00862ADC"/>
    <w:rsid w:val="00865FC5"/>
    <w:rsid w:val="00867122"/>
    <w:rsid w:val="008718A3"/>
    <w:rsid w:val="008736E9"/>
    <w:rsid w:val="00883E3B"/>
    <w:rsid w:val="008853C9"/>
    <w:rsid w:val="00893C32"/>
    <w:rsid w:val="008964C8"/>
    <w:rsid w:val="00896983"/>
    <w:rsid w:val="008A43AA"/>
    <w:rsid w:val="008A704B"/>
    <w:rsid w:val="008B6678"/>
    <w:rsid w:val="008C2B9A"/>
    <w:rsid w:val="008C755D"/>
    <w:rsid w:val="008D312B"/>
    <w:rsid w:val="008D4281"/>
    <w:rsid w:val="008F333C"/>
    <w:rsid w:val="008F557C"/>
    <w:rsid w:val="008F710B"/>
    <w:rsid w:val="00901B5F"/>
    <w:rsid w:val="00903154"/>
    <w:rsid w:val="009032E3"/>
    <w:rsid w:val="00926B2B"/>
    <w:rsid w:val="00936EE2"/>
    <w:rsid w:val="00940AAC"/>
    <w:rsid w:val="009712EB"/>
    <w:rsid w:val="00972323"/>
    <w:rsid w:val="00973341"/>
    <w:rsid w:val="00975935"/>
    <w:rsid w:val="00981EB5"/>
    <w:rsid w:val="009900DE"/>
    <w:rsid w:val="00994135"/>
    <w:rsid w:val="009976DD"/>
    <w:rsid w:val="009A61CA"/>
    <w:rsid w:val="009B38A5"/>
    <w:rsid w:val="009B40D6"/>
    <w:rsid w:val="009B59E7"/>
    <w:rsid w:val="009B6BE6"/>
    <w:rsid w:val="009C0F06"/>
    <w:rsid w:val="009D1BEE"/>
    <w:rsid w:val="009D343D"/>
    <w:rsid w:val="009D4053"/>
    <w:rsid w:val="009D4CB5"/>
    <w:rsid w:val="009E41C0"/>
    <w:rsid w:val="009F2D02"/>
    <w:rsid w:val="009F3173"/>
    <w:rsid w:val="009F6C84"/>
    <w:rsid w:val="009F7EB0"/>
    <w:rsid w:val="00A0704F"/>
    <w:rsid w:val="00A10372"/>
    <w:rsid w:val="00A145C8"/>
    <w:rsid w:val="00A235AB"/>
    <w:rsid w:val="00A305A5"/>
    <w:rsid w:val="00A338A8"/>
    <w:rsid w:val="00A3749C"/>
    <w:rsid w:val="00A47E24"/>
    <w:rsid w:val="00A51BE4"/>
    <w:rsid w:val="00A64053"/>
    <w:rsid w:val="00A64186"/>
    <w:rsid w:val="00A71FF5"/>
    <w:rsid w:val="00A94925"/>
    <w:rsid w:val="00A968F9"/>
    <w:rsid w:val="00A97D4E"/>
    <w:rsid w:val="00AA28FB"/>
    <w:rsid w:val="00AA51E6"/>
    <w:rsid w:val="00AA69BC"/>
    <w:rsid w:val="00AA6B05"/>
    <w:rsid w:val="00AB0C5C"/>
    <w:rsid w:val="00AB30F9"/>
    <w:rsid w:val="00AB38B3"/>
    <w:rsid w:val="00AB53B9"/>
    <w:rsid w:val="00AB72A3"/>
    <w:rsid w:val="00AC191C"/>
    <w:rsid w:val="00AC6475"/>
    <w:rsid w:val="00AC7AEA"/>
    <w:rsid w:val="00AC7E83"/>
    <w:rsid w:val="00AD70F0"/>
    <w:rsid w:val="00AE57CB"/>
    <w:rsid w:val="00AE7618"/>
    <w:rsid w:val="00AF359A"/>
    <w:rsid w:val="00AF5477"/>
    <w:rsid w:val="00B10ECF"/>
    <w:rsid w:val="00B15A2D"/>
    <w:rsid w:val="00B15EDD"/>
    <w:rsid w:val="00B178CD"/>
    <w:rsid w:val="00B17EBA"/>
    <w:rsid w:val="00B2583F"/>
    <w:rsid w:val="00B3014A"/>
    <w:rsid w:val="00B35A67"/>
    <w:rsid w:val="00B4480D"/>
    <w:rsid w:val="00B53E6D"/>
    <w:rsid w:val="00B60EE2"/>
    <w:rsid w:val="00B61065"/>
    <w:rsid w:val="00B76DA6"/>
    <w:rsid w:val="00B85612"/>
    <w:rsid w:val="00B95572"/>
    <w:rsid w:val="00BA19BA"/>
    <w:rsid w:val="00BA1F2D"/>
    <w:rsid w:val="00BA380C"/>
    <w:rsid w:val="00BA6432"/>
    <w:rsid w:val="00BB13A3"/>
    <w:rsid w:val="00BC293E"/>
    <w:rsid w:val="00BC396C"/>
    <w:rsid w:val="00BC39BD"/>
    <w:rsid w:val="00BC7BD1"/>
    <w:rsid w:val="00BD285B"/>
    <w:rsid w:val="00BD4410"/>
    <w:rsid w:val="00BE7C91"/>
    <w:rsid w:val="00BF4299"/>
    <w:rsid w:val="00BF5F3D"/>
    <w:rsid w:val="00C02B12"/>
    <w:rsid w:val="00C035D0"/>
    <w:rsid w:val="00C04B58"/>
    <w:rsid w:val="00C04C61"/>
    <w:rsid w:val="00C10E72"/>
    <w:rsid w:val="00C153F5"/>
    <w:rsid w:val="00C240BA"/>
    <w:rsid w:val="00C24F00"/>
    <w:rsid w:val="00C3416B"/>
    <w:rsid w:val="00C3551F"/>
    <w:rsid w:val="00C41FA0"/>
    <w:rsid w:val="00C45F51"/>
    <w:rsid w:val="00C4790C"/>
    <w:rsid w:val="00C47A71"/>
    <w:rsid w:val="00C51926"/>
    <w:rsid w:val="00C55F61"/>
    <w:rsid w:val="00C62443"/>
    <w:rsid w:val="00C636C4"/>
    <w:rsid w:val="00C73422"/>
    <w:rsid w:val="00C86B2A"/>
    <w:rsid w:val="00CA4AA8"/>
    <w:rsid w:val="00CA7871"/>
    <w:rsid w:val="00CB17CC"/>
    <w:rsid w:val="00CB3014"/>
    <w:rsid w:val="00CC2FB0"/>
    <w:rsid w:val="00CC4BA8"/>
    <w:rsid w:val="00CD2BEA"/>
    <w:rsid w:val="00CD2F07"/>
    <w:rsid w:val="00CD3114"/>
    <w:rsid w:val="00CD5A5C"/>
    <w:rsid w:val="00CD76BF"/>
    <w:rsid w:val="00CE137F"/>
    <w:rsid w:val="00CE6D0C"/>
    <w:rsid w:val="00CF0622"/>
    <w:rsid w:val="00CF070B"/>
    <w:rsid w:val="00CF1914"/>
    <w:rsid w:val="00CF5552"/>
    <w:rsid w:val="00CF5FB8"/>
    <w:rsid w:val="00D00193"/>
    <w:rsid w:val="00D06844"/>
    <w:rsid w:val="00D1396D"/>
    <w:rsid w:val="00D20576"/>
    <w:rsid w:val="00D23B68"/>
    <w:rsid w:val="00D26B19"/>
    <w:rsid w:val="00D30CBB"/>
    <w:rsid w:val="00D311A6"/>
    <w:rsid w:val="00D3227B"/>
    <w:rsid w:val="00D35FD1"/>
    <w:rsid w:val="00D36785"/>
    <w:rsid w:val="00D44E62"/>
    <w:rsid w:val="00D52AE5"/>
    <w:rsid w:val="00D60A0D"/>
    <w:rsid w:val="00D65B87"/>
    <w:rsid w:val="00D718DD"/>
    <w:rsid w:val="00D72A13"/>
    <w:rsid w:val="00D75EDE"/>
    <w:rsid w:val="00D87164"/>
    <w:rsid w:val="00D87780"/>
    <w:rsid w:val="00D91257"/>
    <w:rsid w:val="00D927BA"/>
    <w:rsid w:val="00DA11ED"/>
    <w:rsid w:val="00DA2042"/>
    <w:rsid w:val="00DA3356"/>
    <w:rsid w:val="00DA64F2"/>
    <w:rsid w:val="00DA7C6F"/>
    <w:rsid w:val="00DB0219"/>
    <w:rsid w:val="00DB2830"/>
    <w:rsid w:val="00DB2983"/>
    <w:rsid w:val="00DB7FA8"/>
    <w:rsid w:val="00DC08CF"/>
    <w:rsid w:val="00DC4614"/>
    <w:rsid w:val="00DC6F71"/>
    <w:rsid w:val="00DD2CE7"/>
    <w:rsid w:val="00DD3512"/>
    <w:rsid w:val="00DD50D8"/>
    <w:rsid w:val="00DD661A"/>
    <w:rsid w:val="00DE6670"/>
    <w:rsid w:val="00DF5CCD"/>
    <w:rsid w:val="00E02215"/>
    <w:rsid w:val="00E03059"/>
    <w:rsid w:val="00E11138"/>
    <w:rsid w:val="00E14017"/>
    <w:rsid w:val="00E1698B"/>
    <w:rsid w:val="00E20886"/>
    <w:rsid w:val="00E26B9B"/>
    <w:rsid w:val="00E27522"/>
    <w:rsid w:val="00E45C64"/>
    <w:rsid w:val="00E5497E"/>
    <w:rsid w:val="00E60A4F"/>
    <w:rsid w:val="00E7125B"/>
    <w:rsid w:val="00E729C9"/>
    <w:rsid w:val="00E86675"/>
    <w:rsid w:val="00E8766A"/>
    <w:rsid w:val="00E9052B"/>
    <w:rsid w:val="00E9357A"/>
    <w:rsid w:val="00EA0BFC"/>
    <w:rsid w:val="00EA161A"/>
    <w:rsid w:val="00EB0BFD"/>
    <w:rsid w:val="00EB3D2B"/>
    <w:rsid w:val="00EC7212"/>
    <w:rsid w:val="00ED2255"/>
    <w:rsid w:val="00EE3A65"/>
    <w:rsid w:val="00EF1F29"/>
    <w:rsid w:val="00EF740B"/>
    <w:rsid w:val="00F0195B"/>
    <w:rsid w:val="00F02476"/>
    <w:rsid w:val="00F04DBB"/>
    <w:rsid w:val="00F11DCB"/>
    <w:rsid w:val="00F228BD"/>
    <w:rsid w:val="00F26CA1"/>
    <w:rsid w:val="00F2780E"/>
    <w:rsid w:val="00F305A1"/>
    <w:rsid w:val="00F35E0E"/>
    <w:rsid w:val="00F50B6F"/>
    <w:rsid w:val="00F61696"/>
    <w:rsid w:val="00F66199"/>
    <w:rsid w:val="00F723F2"/>
    <w:rsid w:val="00F742B3"/>
    <w:rsid w:val="00F75021"/>
    <w:rsid w:val="00F753C2"/>
    <w:rsid w:val="00F836C6"/>
    <w:rsid w:val="00F93887"/>
    <w:rsid w:val="00FA14C6"/>
    <w:rsid w:val="00FB1683"/>
    <w:rsid w:val="00FC215B"/>
    <w:rsid w:val="00FC757C"/>
    <w:rsid w:val="00FD06DC"/>
    <w:rsid w:val="00FD3C04"/>
    <w:rsid w:val="00FD7377"/>
    <w:rsid w:val="00FD77A2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F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9"/>
    <w:qFormat/>
    <w:locked/>
    <w:rsid w:val="005216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5216C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6C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6C7"/>
    <w:rPr>
      <w:rFonts w:eastAsia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rsid w:val="00EA0B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BFC"/>
    <w:pPr>
      <w:spacing w:after="200" w:line="360" w:lineRule="auto"/>
      <w:ind w:left="851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76F"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EA0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76F"/>
    <w:rPr>
      <w:rFonts w:cs="Times New Roman"/>
      <w:sz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4C27"/>
    <w:pPr>
      <w:spacing w:after="0" w:line="240" w:lineRule="auto"/>
      <w:ind w:left="0"/>
      <w:jc w:val="left"/>
    </w:pPr>
    <w:rPr>
      <w:rFonts w:ascii="Times New Roman" w:hAnsi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76F"/>
    <w:rPr>
      <w:b/>
      <w:bCs/>
    </w:rPr>
  </w:style>
  <w:style w:type="character" w:styleId="Hyperlink">
    <w:name w:val="Hyperlink"/>
    <w:basedOn w:val="DefaultParagraphFont"/>
    <w:uiPriority w:val="99"/>
    <w:semiHidden/>
    <w:rsid w:val="00AF5477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AF5477"/>
    <w:pPr>
      <w:spacing w:before="100" w:beforeAutospacing="1" w:after="100" w:afterAutospacing="1"/>
    </w:pPr>
    <w:rPr>
      <w:lang w:val="en-US" w:eastAsia="en-US"/>
    </w:rPr>
  </w:style>
  <w:style w:type="paragraph" w:customStyle="1" w:styleId="desc">
    <w:name w:val="desc"/>
    <w:basedOn w:val="Normal"/>
    <w:uiPriority w:val="99"/>
    <w:rsid w:val="00AF5477"/>
    <w:pPr>
      <w:spacing w:before="100" w:beforeAutospacing="1" w:after="100" w:afterAutospacing="1"/>
    </w:pPr>
    <w:rPr>
      <w:lang w:val="en-US" w:eastAsia="en-US"/>
    </w:rPr>
  </w:style>
  <w:style w:type="paragraph" w:customStyle="1" w:styleId="details">
    <w:name w:val="details"/>
    <w:basedOn w:val="Normal"/>
    <w:uiPriority w:val="99"/>
    <w:rsid w:val="00AF5477"/>
    <w:pPr>
      <w:spacing w:before="100" w:beforeAutospacing="1" w:after="100" w:afterAutospacing="1"/>
    </w:pPr>
    <w:rPr>
      <w:lang w:val="en-US" w:eastAsia="en-US"/>
    </w:rPr>
  </w:style>
  <w:style w:type="character" w:customStyle="1" w:styleId="jrnl">
    <w:name w:val="jrnl"/>
    <w:basedOn w:val="DefaultParagraphFont"/>
    <w:uiPriority w:val="99"/>
    <w:rsid w:val="00AF54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5216C7"/>
    <w:rPr>
      <w:rFonts w:cs="Times New Roman"/>
    </w:rPr>
  </w:style>
  <w:style w:type="paragraph" w:styleId="NormalWeb">
    <w:name w:val="Normal (Web)"/>
    <w:basedOn w:val="Normal"/>
    <w:uiPriority w:val="99"/>
    <w:semiHidden/>
    <w:rsid w:val="005216C7"/>
    <w:pPr>
      <w:spacing w:before="100" w:beforeAutospacing="1" w:after="100" w:afterAutospacing="1"/>
    </w:pPr>
    <w:rPr>
      <w:lang w:val="en-US" w:eastAsia="en-US"/>
    </w:rPr>
  </w:style>
  <w:style w:type="character" w:customStyle="1" w:styleId="printhide">
    <w:name w:val="printhide"/>
    <w:basedOn w:val="DefaultParagraphFont"/>
    <w:uiPriority w:val="99"/>
    <w:rsid w:val="00712CF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12CF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12CF0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12CF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12CF0"/>
    <w:rPr>
      <w:rFonts w:ascii="Arial" w:hAnsi="Arial" w:cs="Arial"/>
      <w:vanish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712CF0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rsid w:val="00B60EE2"/>
    <w:rPr>
      <w:rFonts w:cs="Times New Roman"/>
    </w:rPr>
  </w:style>
  <w:style w:type="table" w:styleId="TableGrid">
    <w:name w:val="Table Grid"/>
    <w:basedOn w:val="TableNormal"/>
    <w:uiPriority w:val="99"/>
    <w:locked/>
    <w:rsid w:val="0049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8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6882">
                          <w:marLeft w:val="0"/>
                          <w:marRight w:val="49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5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46919">
                                                  <w:marLeft w:val="41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4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4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4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5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54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Imperial College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Voltage gated sodium channels (VGSCs) are necessary for the generation and propagation of action potentials (Hille, 2001)</dc:title>
  <dc:creator>ICT</dc:creator>
  <cp:lastModifiedBy>okuse</cp:lastModifiedBy>
  <cp:revision>4</cp:revision>
  <cp:lastPrinted>2012-02-06T13:24:00Z</cp:lastPrinted>
  <dcterms:created xsi:type="dcterms:W3CDTF">2012-07-11T10:07:00Z</dcterms:created>
  <dcterms:modified xsi:type="dcterms:W3CDTF">2012-07-11T10:41:00Z</dcterms:modified>
</cp:coreProperties>
</file>