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AD" w:rsidRPr="007A11A9" w:rsidRDefault="00147FAD" w:rsidP="00005DE3">
      <w:pPr>
        <w:spacing w:line="240" w:lineRule="auto"/>
        <w:jc w:val="both"/>
        <w:rPr>
          <w:lang w:val="en-US"/>
        </w:rPr>
      </w:pPr>
      <w:r>
        <w:rPr>
          <w:b/>
          <w:lang w:val="en-US"/>
        </w:rPr>
        <w:t>Table S2</w:t>
      </w:r>
      <w:r w:rsidRPr="007A11A9">
        <w:rPr>
          <w:b/>
          <w:lang w:val="en-US"/>
        </w:rPr>
        <w:t>:</w:t>
      </w:r>
      <w:r w:rsidRPr="007A11A9">
        <w:rPr>
          <w:lang w:val="en-US"/>
        </w:rPr>
        <w:t xml:space="preserve"> CityForm survey questions pertaining to the six sociodemographic household characteristics that were identified as those that may influence the likelihood of households providing supplementary food for birds. Superscript numbers indicate how data was re-categorized where applicable.</w:t>
      </w:r>
    </w:p>
    <w:tbl>
      <w:tblPr>
        <w:tblW w:w="15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700"/>
        <w:gridCol w:w="5839"/>
        <w:gridCol w:w="5348"/>
      </w:tblGrid>
      <w:tr w:rsidR="00147FAD" w:rsidRPr="009E18C8" w:rsidTr="002A4A5A">
        <w:trPr>
          <w:jc w:val="center"/>
        </w:trPr>
        <w:tc>
          <w:tcPr>
            <w:tcW w:w="1800" w:type="dxa"/>
            <w:tcBorders>
              <w:left w:val="nil"/>
              <w:right w:val="nil"/>
            </w:tcBorders>
          </w:tcPr>
          <w:p w:rsidR="00147FAD" w:rsidRPr="009E18C8" w:rsidRDefault="00147FAD" w:rsidP="002A4A5A">
            <w:pPr>
              <w:spacing w:line="240" w:lineRule="auto"/>
              <w:rPr>
                <w:b/>
                <w:sz w:val="20"/>
                <w:szCs w:val="20"/>
                <w:lang w:val="en-US"/>
              </w:rPr>
            </w:pPr>
            <w:r w:rsidRPr="009E18C8">
              <w:rPr>
                <w:b/>
                <w:sz w:val="20"/>
                <w:szCs w:val="20"/>
                <w:lang w:val="en-US"/>
              </w:rPr>
              <w:t>Household characteristic</w:t>
            </w:r>
          </w:p>
        </w:tc>
        <w:tc>
          <w:tcPr>
            <w:tcW w:w="2700" w:type="dxa"/>
            <w:tcBorders>
              <w:left w:val="nil"/>
              <w:right w:val="nil"/>
            </w:tcBorders>
          </w:tcPr>
          <w:p w:rsidR="00147FAD" w:rsidRPr="009E18C8" w:rsidRDefault="00147FAD" w:rsidP="002A4A5A">
            <w:pPr>
              <w:spacing w:line="240" w:lineRule="auto"/>
              <w:rPr>
                <w:b/>
                <w:sz w:val="20"/>
                <w:szCs w:val="20"/>
                <w:lang w:val="en-US"/>
              </w:rPr>
            </w:pPr>
            <w:r w:rsidRPr="009E18C8">
              <w:rPr>
                <w:b/>
                <w:sz w:val="20"/>
                <w:szCs w:val="20"/>
                <w:lang w:val="en-US"/>
              </w:rPr>
              <w:t>Relevant survey question</w:t>
            </w:r>
          </w:p>
        </w:tc>
        <w:tc>
          <w:tcPr>
            <w:tcW w:w="5839" w:type="dxa"/>
            <w:tcBorders>
              <w:left w:val="nil"/>
              <w:right w:val="nil"/>
            </w:tcBorders>
          </w:tcPr>
          <w:p w:rsidR="00147FAD" w:rsidRPr="009E18C8" w:rsidRDefault="00147FAD" w:rsidP="002A4A5A">
            <w:pPr>
              <w:tabs>
                <w:tab w:val="left" w:pos="7128"/>
              </w:tabs>
              <w:spacing w:line="240" w:lineRule="auto"/>
              <w:rPr>
                <w:b/>
                <w:sz w:val="20"/>
                <w:szCs w:val="20"/>
                <w:lang w:val="en-US"/>
              </w:rPr>
            </w:pPr>
            <w:r w:rsidRPr="009E18C8">
              <w:rPr>
                <w:b/>
                <w:sz w:val="20"/>
                <w:szCs w:val="20"/>
                <w:lang w:val="en-US"/>
              </w:rPr>
              <w:t>Possible responses (</w:t>
            </w:r>
            <w:r w:rsidRPr="009E18C8">
              <w:rPr>
                <w:b/>
                <w:i/>
                <w:sz w:val="20"/>
                <w:szCs w:val="20"/>
                <w:lang w:val="en-US"/>
              </w:rPr>
              <w:t>type of data</w:t>
            </w:r>
            <w:r w:rsidRPr="009E18C8">
              <w:rPr>
                <w:b/>
                <w:sz w:val="20"/>
                <w:szCs w:val="20"/>
                <w:lang w:val="en-US"/>
              </w:rPr>
              <w:t>)</w:t>
            </w:r>
          </w:p>
        </w:tc>
        <w:tc>
          <w:tcPr>
            <w:tcW w:w="5348" w:type="dxa"/>
            <w:tcBorders>
              <w:left w:val="nil"/>
              <w:right w:val="nil"/>
            </w:tcBorders>
          </w:tcPr>
          <w:p w:rsidR="00147FAD" w:rsidRPr="009E18C8" w:rsidRDefault="00147FAD" w:rsidP="002A4A5A">
            <w:pPr>
              <w:tabs>
                <w:tab w:val="left" w:pos="7128"/>
              </w:tabs>
              <w:spacing w:line="240" w:lineRule="auto"/>
              <w:rPr>
                <w:b/>
                <w:sz w:val="20"/>
                <w:szCs w:val="20"/>
                <w:lang w:val="en-US"/>
              </w:rPr>
            </w:pPr>
            <w:r w:rsidRPr="009E18C8">
              <w:rPr>
                <w:b/>
                <w:sz w:val="20"/>
                <w:szCs w:val="20"/>
                <w:lang w:val="en-US"/>
              </w:rPr>
              <w:t>Categorical responses for analysis (</w:t>
            </w:r>
            <w:r w:rsidRPr="009E18C8">
              <w:rPr>
                <w:b/>
                <w:i/>
                <w:sz w:val="20"/>
                <w:szCs w:val="20"/>
                <w:lang w:val="en-US"/>
              </w:rPr>
              <w:t>exclusions</w:t>
            </w:r>
            <w:r w:rsidRPr="009E18C8">
              <w:rPr>
                <w:b/>
                <w:sz w:val="20"/>
                <w:szCs w:val="20"/>
                <w:lang w:val="en-US"/>
              </w:rPr>
              <w:t>)</w:t>
            </w:r>
          </w:p>
        </w:tc>
      </w:tr>
      <w:tr w:rsidR="00147FAD" w:rsidRPr="009E18C8" w:rsidTr="002A4A5A">
        <w:trPr>
          <w:jc w:val="center"/>
        </w:trPr>
        <w:tc>
          <w:tcPr>
            <w:tcW w:w="1800" w:type="dxa"/>
            <w:tcBorders>
              <w:left w:val="nil"/>
              <w:bottom w:val="nil"/>
              <w:right w:val="nil"/>
            </w:tcBorders>
          </w:tcPr>
          <w:p w:rsidR="00147FAD" w:rsidRPr="009E18C8" w:rsidRDefault="00147FAD" w:rsidP="002A4A5A">
            <w:pPr>
              <w:spacing w:line="240" w:lineRule="auto"/>
              <w:rPr>
                <w:i/>
                <w:sz w:val="20"/>
                <w:szCs w:val="20"/>
                <w:lang w:val="en-US"/>
              </w:rPr>
            </w:pPr>
            <w:r w:rsidRPr="009E18C8">
              <w:rPr>
                <w:i/>
                <w:sz w:val="20"/>
                <w:szCs w:val="20"/>
                <w:lang w:val="en-US"/>
              </w:rPr>
              <w:t>Household Status</w:t>
            </w:r>
          </w:p>
        </w:tc>
        <w:tc>
          <w:tcPr>
            <w:tcW w:w="2700" w:type="dxa"/>
            <w:tcBorders>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Do you or other household member own your home?</w:t>
            </w:r>
          </w:p>
        </w:tc>
        <w:tc>
          <w:tcPr>
            <w:tcW w:w="5839" w:type="dxa"/>
            <w:tcBorders>
              <w:left w:val="nil"/>
              <w:bottom w:val="nil"/>
              <w:right w:val="nil"/>
            </w:tcBorders>
          </w:tcPr>
          <w:p w:rsidR="00147FAD" w:rsidRPr="009E18C8" w:rsidRDefault="00147FAD" w:rsidP="002A4A5A">
            <w:pPr>
              <w:spacing w:line="240" w:lineRule="auto"/>
              <w:rPr>
                <w:sz w:val="20"/>
                <w:szCs w:val="20"/>
                <w:lang w:val="en-US"/>
              </w:rPr>
            </w:pPr>
            <w:r w:rsidRPr="009E18C8">
              <w:rPr>
                <w:sz w:val="20"/>
                <w:szCs w:val="20"/>
                <w:vertAlign w:val="superscript"/>
                <w:lang w:val="en-US"/>
              </w:rPr>
              <w:t>1</w:t>
            </w:r>
            <w:r w:rsidRPr="009E18C8">
              <w:rPr>
                <w:sz w:val="20"/>
                <w:szCs w:val="20"/>
                <w:lang w:val="en-US"/>
              </w:rPr>
              <w:t xml:space="preserve">Own outright/own with a mortgage or loan, pay part mortgage part rent, </w:t>
            </w:r>
            <w:r w:rsidRPr="009E18C8">
              <w:rPr>
                <w:sz w:val="20"/>
                <w:szCs w:val="20"/>
                <w:vertAlign w:val="superscript"/>
                <w:lang w:val="en-US"/>
              </w:rPr>
              <w:t>2</w:t>
            </w:r>
            <w:r w:rsidRPr="009E18C8">
              <w:rPr>
                <w:sz w:val="20"/>
                <w:szCs w:val="20"/>
                <w:lang w:val="en-US"/>
              </w:rPr>
              <w:t xml:space="preserve">rent from public sector, </w:t>
            </w:r>
            <w:r w:rsidRPr="009E18C8">
              <w:rPr>
                <w:sz w:val="20"/>
                <w:szCs w:val="20"/>
                <w:vertAlign w:val="superscript"/>
                <w:lang w:val="en-US"/>
              </w:rPr>
              <w:t>2</w:t>
            </w:r>
            <w:r w:rsidRPr="009E18C8">
              <w:rPr>
                <w:sz w:val="20"/>
                <w:szCs w:val="20"/>
                <w:lang w:val="en-US"/>
              </w:rPr>
              <w:t>rent from private sector (</w:t>
            </w:r>
            <w:r w:rsidRPr="009E18C8">
              <w:rPr>
                <w:i/>
                <w:sz w:val="20"/>
                <w:szCs w:val="20"/>
                <w:lang w:val="en-US"/>
              </w:rPr>
              <w:t>categorical</w:t>
            </w:r>
            <w:r w:rsidRPr="009E18C8">
              <w:rPr>
                <w:sz w:val="20"/>
                <w:szCs w:val="20"/>
                <w:lang w:val="en-US"/>
              </w:rPr>
              <w:t>)</w:t>
            </w:r>
          </w:p>
        </w:tc>
        <w:tc>
          <w:tcPr>
            <w:tcW w:w="5348" w:type="dxa"/>
            <w:tcBorders>
              <w:left w:val="nil"/>
              <w:bottom w:val="nil"/>
              <w:right w:val="nil"/>
            </w:tcBorders>
          </w:tcPr>
          <w:p w:rsidR="00147FAD" w:rsidRPr="009E18C8" w:rsidRDefault="00147FAD" w:rsidP="002A4A5A">
            <w:pPr>
              <w:spacing w:line="240" w:lineRule="auto"/>
              <w:rPr>
                <w:sz w:val="20"/>
                <w:szCs w:val="20"/>
                <w:lang w:val="en-US"/>
              </w:rPr>
            </w:pPr>
            <w:r w:rsidRPr="009E18C8">
              <w:rPr>
                <w:sz w:val="20"/>
                <w:szCs w:val="20"/>
                <w:vertAlign w:val="superscript"/>
                <w:lang w:val="en-US"/>
              </w:rPr>
              <w:t>1</w:t>
            </w:r>
            <w:r w:rsidRPr="009E18C8">
              <w:rPr>
                <w:sz w:val="20"/>
                <w:szCs w:val="20"/>
                <w:lang w:val="en-US"/>
              </w:rPr>
              <w:t xml:space="preserve">Own, </w:t>
            </w:r>
            <w:r w:rsidRPr="009E18C8">
              <w:rPr>
                <w:sz w:val="20"/>
                <w:szCs w:val="20"/>
                <w:vertAlign w:val="superscript"/>
                <w:lang w:val="en-US"/>
              </w:rPr>
              <w:t>2</w:t>
            </w:r>
            <w:r w:rsidRPr="009E18C8">
              <w:rPr>
                <w:sz w:val="20"/>
                <w:szCs w:val="20"/>
                <w:lang w:val="en-US"/>
              </w:rPr>
              <w:t>rent (</w:t>
            </w:r>
            <w:r w:rsidRPr="009E18C8">
              <w:rPr>
                <w:i/>
                <w:sz w:val="20"/>
                <w:szCs w:val="20"/>
                <w:lang w:val="en-US"/>
              </w:rPr>
              <w:t>pay part mortgage part rent due to low sample size and no comparable category in the SEH</w:t>
            </w:r>
            <w:r w:rsidRPr="009E18C8">
              <w:rPr>
                <w:sz w:val="20"/>
                <w:szCs w:val="20"/>
                <w:lang w:val="en-US"/>
              </w:rPr>
              <w:t>)</w:t>
            </w:r>
          </w:p>
        </w:tc>
      </w:tr>
      <w:tr w:rsidR="00147FAD" w:rsidRPr="009E18C8" w:rsidTr="002A4A5A">
        <w:trPr>
          <w:jc w:val="center"/>
        </w:trPr>
        <w:tc>
          <w:tcPr>
            <w:tcW w:w="1800" w:type="dxa"/>
            <w:tcBorders>
              <w:top w:val="nil"/>
              <w:left w:val="nil"/>
              <w:bottom w:val="nil"/>
              <w:right w:val="nil"/>
            </w:tcBorders>
          </w:tcPr>
          <w:p w:rsidR="00147FAD" w:rsidRPr="009E18C8" w:rsidRDefault="00147FAD" w:rsidP="002A4A5A">
            <w:pPr>
              <w:spacing w:line="240" w:lineRule="auto"/>
              <w:rPr>
                <w:i/>
                <w:sz w:val="20"/>
                <w:szCs w:val="20"/>
                <w:lang w:val="en-US"/>
              </w:rPr>
            </w:pPr>
            <w:r w:rsidRPr="009E18C8">
              <w:rPr>
                <w:i/>
                <w:sz w:val="20"/>
                <w:szCs w:val="20"/>
                <w:lang w:val="en-US"/>
              </w:rPr>
              <w:t>House Type</w:t>
            </w:r>
          </w:p>
        </w:tc>
        <w:tc>
          <w:tcPr>
            <w:tcW w:w="2700"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What type of accommodation do you live in?</w:t>
            </w:r>
          </w:p>
        </w:tc>
        <w:tc>
          <w:tcPr>
            <w:tcW w:w="5839"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vertAlign w:val="superscript"/>
                <w:lang w:val="en-US"/>
              </w:rPr>
              <w:t>1</w:t>
            </w:r>
            <w:r w:rsidRPr="009E18C8">
              <w:rPr>
                <w:sz w:val="20"/>
                <w:szCs w:val="20"/>
                <w:lang w:val="en-US"/>
              </w:rPr>
              <w:t xml:space="preserve">Detached house/bungalow, </w:t>
            </w:r>
            <w:r w:rsidRPr="009E18C8">
              <w:rPr>
                <w:sz w:val="20"/>
                <w:szCs w:val="20"/>
                <w:vertAlign w:val="superscript"/>
                <w:lang w:val="en-US"/>
              </w:rPr>
              <w:t>2</w:t>
            </w:r>
            <w:r w:rsidRPr="009E18C8">
              <w:rPr>
                <w:sz w:val="20"/>
                <w:szCs w:val="20"/>
                <w:lang w:val="en-US"/>
              </w:rPr>
              <w:t xml:space="preserve">semi-detached house/bungalow, </w:t>
            </w:r>
            <w:r w:rsidRPr="009E18C8">
              <w:rPr>
                <w:sz w:val="20"/>
                <w:szCs w:val="20"/>
                <w:vertAlign w:val="superscript"/>
                <w:lang w:val="en-US"/>
              </w:rPr>
              <w:t>3</w:t>
            </w:r>
            <w:r w:rsidRPr="009E18C8">
              <w:rPr>
                <w:sz w:val="20"/>
                <w:szCs w:val="20"/>
                <w:lang w:val="en-US"/>
              </w:rPr>
              <w:t xml:space="preserve">terraced or end of terrace house/bungalow, </w:t>
            </w:r>
            <w:r w:rsidRPr="009E18C8">
              <w:rPr>
                <w:sz w:val="20"/>
                <w:szCs w:val="20"/>
                <w:vertAlign w:val="superscript"/>
                <w:lang w:val="en-US"/>
              </w:rPr>
              <w:t>4</w:t>
            </w:r>
            <w:r w:rsidRPr="009E18C8">
              <w:rPr>
                <w:sz w:val="20"/>
                <w:szCs w:val="20"/>
                <w:lang w:val="en-US"/>
              </w:rPr>
              <w:t xml:space="preserve">purpose built flat/maisonette, </w:t>
            </w:r>
            <w:r w:rsidRPr="009E18C8">
              <w:rPr>
                <w:sz w:val="20"/>
                <w:szCs w:val="20"/>
                <w:vertAlign w:val="superscript"/>
                <w:lang w:val="en-US"/>
              </w:rPr>
              <w:t>5</w:t>
            </w:r>
            <w:r w:rsidRPr="009E18C8">
              <w:rPr>
                <w:sz w:val="20"/>
                <w:szCs w:val="20"/>
                <w:lang w:val="en-US"/>
              </w:rPr>
              <w:t>converted flat/maisonette, dwelling above a shop/office (</w:t>
            </w:r>
            <w:r w:rsidRPr="009E18C8">
              <w:rPr>
                <w:i/>
                <w:sz w:val="20"/>
                <w:szCs w:val="20"/>
                <w:lang w:val="en-US"/>
              </w:rPr>
              <w:t>categorical</w:t>
            </w:r>
            <w:r w:rsidRPr="009E18C8">
              <w:rPr>
                <w:sz w:val="20"/>
                <w:szCs w:val="20"/>
                <w:lang w:val="en-US"/>
              </w:rPr>
              <w:t>)</w:t>
            </w:r>
          </w:p>
        </w:tc>
        <w:tc>
          <w:tcPr>
            <w:tcW w:w="5348"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vertAlign w:val="superscript"/>
                <w:lang w:val="en-US"/>
              </w:rPr>
              <w:t>1</w:t>
            </w:r>
            <w:r w:rsidRPr="009E18C8">
              <w:rPr>
                <w:sz w:val="20"/>
                <w:szCs w:val="20"/>
                <w:lang w:val="en-US"/>
              </w:rPr>
              <w:t xml:space="preserve">Detached, </w:t>
            </w:r>
            <w:r w:rsidRPr="009E18C8">
              <w:rPr>
                <w:sz w:val="20"/>
                <w:szCs w:val="20"/>
                <w:vertAlign w:val="superscript"/>
                <w:lang w:val="en-US"/>
              </w:rPr>
              <w:t>2</w:t>
            </w:r>
            <w:r w:rsidRPr="009E18C8">
              <w:rPr>
                <w:sz w:val="20"/>
                <w:szCs w:val="20"/>
                <w:lang w:val="en-US"/>
              </w:rPr>
              <w:t xml:space="preserve">semi-detached, </w:t>
            </w:r>
            <w:r w:rsidRPr="009E18C8">
              <w:rPr>
                <w:sz w:val="20"/>
                <w:szCs w:val="20"/>
                <w:vertAlign w:val="superscript"/>
                <w:lang w:val="en-US"/>
              </w:rPr>
              <w:t>3</w:t>
            </w:r>
            <w:r w:rsidRPr="009E18C8">
              <w:rPr>
                <w:sz w:val="20"/>
                <w:szCs w:val="20"/>
                <w:lang w:val="en-US"/>
              </w:rPr>
              <w:t xml:space="preserve">terraced or end of terrace, </w:t>
            </w:r>
            <w:r w:rsidRPr="009E18C8">
              <w:rPr>
                <w:sz w:val="20"/>
                <w:szCs w:val="20"/>
                <w:vertAlign w:val="superscript"/>
                <w:lang w:val="en-US"/>
              </w:rPr>
              <w:t>4</w:t>
            </w:r>
            <w:r w:rsidRPr="009E18C8">
              <w:rPr>
                <w:sz w:val="20"/>
                <w:szCs w:val="20"/>
                <w:lang w:val="en-US"/>
              </w:rPr>
              <w:t xml:space="preserve">purpose built flat/maisonette, </w:t>
            </w:r>
            <w:r w:rsidRPr="009E18C8">
              <w:rPr>
                <w:sz w:val="20"/>
                <w:szCs w:val="20"/>
                <w:vertAlign w:val="superscript"/>
                <w:lang w:val="en-US"/>
              </w:rPr>
              <w:t>5</w:t>
            </w:r>
            <w:r w:rsidRPr="009E18C8">
              <w:rPr>
                <w:sz w:val="20"/>
                <w:szCs w:val="20"/>
                <w:lang w:val="en-US"/>
              </w:rPr>
              <w:t>converted flat/maisonette (</w:t>
            </w:r>
            <w:r w:rsidRPr="009E18C8">
              <w:rPr>
                <w:i/>
                <w:sz w:val="20"/>
                <w:szCs w:val="20"/>
                <w:lang w:val="en-US"/>
              </w:rPr>
              <w:t>dwelling above a shop/office due to low sample size and no comparable category in the SEH</w:t>
            </w:r>
            <w:r w:rsidRPr="009E18C8">
              <w:rPr>
                <w:sz w:val="20"/>
                <w:szCs w:val="20"/>
                <w:lang w:val="en-US"/>
              </w:rPr>
              <w:t>)</w:t>
            </w:r>
          </w:p>
        </w:tc>
      </w:tr>
      <w:tr w:rsidR="00147FAD" w:rsidRPr="009E18C8" w:rsidTr="002A4A5A">
        <w:trPr>
          <w:jc w:val="center"/>
        </w:trPr>
        <w:tc>
          <w:tcPr>
            <w:tcW w:w="1800" w:type="dxa"/>
            <w:tcBorders>
              <w:top w:val="nil"/>
              <w:left w:val="nil"/>
              <w:bottom w:val="nil"/>
              <w:right w:val="nil"/>
            </w:tcBorders>
          </w:tcPr>
          <w:p w:rsidR="00147FAD" w:rsidRPr="009E18C8" w:rsidRDefault="00147FAD" w:rsidP="002A4A5A">
            <w:pPr>
              <w:spacing w:line="240" w:lineRule="auto"/>
              <w:rPr>
                <w:i/>
                <w:sz w:val="20"/>
                <w:szCs w:val="20"/>
                <w:lang w:val="en-US"/>
              </w:rPr>
            </w:pPr>
            <w:r w:rsidRPr="009E18C8">
              <w:rPr>
                <w:i/>
                <w:sz w:val="20"/>
                <w:szCs w:val="20"/>
                <w:lang w:val="en-US"/>
              </w:rPr>
              <w:t>Age of Householder</w:t>
            </w:r>
          </w:p>
        </w:tc>
        <w:tc>
          <w:tcPr>
            <w:tcW w:w="2700"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To which of these age groups does the head of the household belong?</w:t>
            </w:r>
          </w:p>
        </w:tc>
        <w:tc>
          <w:tcPr>
            <w:tcW w:w="5839"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16-24, 25-34, 35-44, 45-54, 55-64, 65 or over (</w:t>
            </w:r>
            <w:r w:rsidRPr="009E18C8">
              <w:rPr>
                <w:i/>
                <w:sz w:val="20"/>
                <w:szCs w:val="20"/>
                <w:lang w:val="en-US"/>
              </w:rPr>
              <w:t>categorical</w:t>
            </w:r>
            <w:r w:rsidRPr="009E18C8">
              <w:rPr>
                <w:sz w:val="20"/>
                <w:szCs w:val="20"/>
                <w:lang w:val="en-US"/>
              </w:rPr>
              <w:t>)</w:t>
            </w:r>
          </w:p>
        </w:tc>
        <w:tc>
          <w:tcPr>
            <w:tcW w:w="5348"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16-24, 25-34, 35-44, 45-54, 55-64, 65 or over</w:t>
            </w:r>
          </w:p>
        </w:tc>
      </w:tr>
      <w:tr w:rsidR="00147FAD" w:rsidRPr="009E18C8" w:rsidTr="002A4A5A">
        <w:trPr>
          <w:jc w:val="center"/>
        </w:trPr>
        <w:tc>
          <w:tcPr>
            <w:tcW w:w="1800" w:type="dxa"/>
            <w:tcBorders>
              <w:top w:val="nil"/>
              <w:left w:val="nil"/>
              <w:bottom w:val="nil"/>
              <w:right w:val="nil"/>
            </w:tcBorders>
          </w:tcPr>
          <w:p w:rsidR="00147FAD" w:rsidRPr="009E18C8" w:rsidRDefault="00147FAD" w:rsidP="002A4A5A">
            <w:pPr>
              <w:spacing w:line="240" w:lineRule="auto"/>
              <w:rPr>
                <w:i/>
                <w:sz w:val="20"/>
                <w:szCs w:val="20"/>
                <w:lang w:val="en-US"/>
              </w:rPr>
            </w:pPr>
            <w:r w:rsidRPr="009E18C8">
              <w:rPr>
                <w:i/>
                <w:sz w:val="20"/>
                <w:szCs w:val="20"/>
                <w:lang w:val="en-US"/>
              </w:rPr>
              <w:t>Household Size</w:t>
            </w:r>
          </w:p>
        </w:tc>
        <w:tc>
          <w:tcPr>
            <w:tcW w:w="2700"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How many people are in your household?</w:t>
            </w:r>
          </w:p>
        </w:tc>
        <w:tc>
          <w:tcPr>
            <w:tcW w:w="5839"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Any (</w:t>
            </w:r>
            <w:r w:rsidRPr="009E18C8">
              <w:rPr>
                <w:i/>
                <w:sz w:val="20"/>
                <w:szCs w:val="20"/>
                <w:lang w:val="en-US"/>
              </w:rPr>
              <w:t>continuous</w:t>
            </w:r>
            <w:r w:rsidRPr="009E18C8">
              <w:rPr>
                <w:sz w:val="20"/>
                <w:szCs w:val="20"/>
                <w:lang w:val="en-US"/>
              </w:rPr>
              <w:t>)</w:t>
            </w:r>
          </w:p>
        </w:tc>
        <w:tc>
          <w:tcPr>
            <w:tcW w:w="5348"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1, 2, 3, 4, 5, 6 or over</w:t>
            </w:r>
          </w:p>
        </w:tc>
      </w:tr>
      <w:tr w:rsidR="00147FAD" w:rsidRPr="009E18C8" w:rsidTr="002A4A5A">
        <w:trPr>
          <w:jc w:val="center"/>
        </w:trPr>
        <w:tc>
          <w:tcPr>
            <w:tcW w:w="1800" w:type="dxa"/>
            <w:tcBorders>
              <w:top w:val="nil"/>
              <w:left w:val="nil"/>
              <w:bottom w:val="nil"/>
              <w:right w:val="nil"/>
            </w:tcBorders>
          </w:tcPr>
          <w:p w:rsidR="00147FAD" w:rsidRPr="009E18C8" w:rsidRDefault="00147FAD" w:rsidP="002A4A5A">
            <w:pPr>
              <w:spacing w:line="240" w:lineRule="auto"/>
              <w:rPr>
                <w:i/>
                <w:sz w:val="20"/>
                <w:szCs w:val="20"/>
                <w:lang w:val="en-US"/>
              </w:rPr>
            </w:pPr>
            <w:r w:rsidRPr="009E18C8">
              <w:rPr>
                <w:i/>
                <w:sz w:val="20"/>
                <w:szCs w:val="20"/>
                <w:lang w:val="en-US"/>
              </w:rPr>
              <w:t>Gross Annual Household Income</w:t>
            </w:r>
          </w:p>
        </w:tc>
        <w:tc>
          <w:tcPr>
            <w:tcW w:w="2700"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What is your gross annual household income?</w:t>
            </w:r>
          </w:p>
        </w:tc>
        <w:tc>
          <w:tcPr>
            <w:tcW w:w="5839"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Under £10000, £10000-£19999, £20000-£29999, £30000-£49999, £50000-£79999, £80000 or more (</w:t>
            </w:r>
            <w:r w:rsidRPr="009E18C8">
              <w:rPr>
                <w:i/>
                <w:sz w:val="20"/>
                <w:szCs w:val="20"/>
                <w:lang w:val="en-US"/>
              </w:rPr>
              <w:t>categorical</w:t>
            </w:r>
            <w:r w:rsidRPr="009E18C8">
              <w:rPr>
                <w:sz w:val="20"/>
                <w:szCs w:val="20"/>
                <w:lang w:val="en-US"/>
              </w:rPr>
              <w:t>)</w:t>
            </w:r>
          </w:p>
        </w:tc>
        <w:tc>
          <w:tcPr>
            <w:tcW w:w="5348" w:type="dxa"/>
            <w:tcBorders>
              <w:top w:val="nil"/>
              <w:left w:val="nil"/>
              <w:bottom w:val="nil"/>
              <w:right w:val="nil"/>
            </w:tcBorders>
          </w:tcPr>
          <w:p w:rsidR="00147FAD" w:rsidRPr="009E18C8" w:rsidRDefault="00147FAD" w:rsidP="002A4A5A">
            <w:pPr>
              <w:spacing w:line="240" w:lineRule="auto"/>
              <w:rPr>
                <w:sz w:val="20"/>
                <w:szCs w:val="20"/>
                <w:lang w:val="en-US"/>
              </w:rPr>
            </w:pPr>
            <w:r w:rsidRPr="009E18C8">
              <w:rPr>
                <w:sz w:val="20"/>
                <w:szCs w:val="20"/>
                <w:lang w:val="en-US"/>
              </w:rPr>
              <w:t>Under £10000, £10000-£19999, £20000-£29999, £30000-£49999, £50000-£79999, £80000 or more</w:t>
            </w:r>
          </w:p>
        </w:tc>
      </w:tr>
      <w:tr w:rsidR="00147FAD" w:rsidRPr="009E18C8" w:rsidTr="002A4A5A">
        <w:trPr>
          <w:jc w:val="center"/>
        </w:trPr>
        <w:tc>
          <w:tcPr>
            <w:tcW w:w="1800" w:type="dxa"/>
            <w:tcBorders>
              <w:top w:val="nil"/>
              <w:left w:val="nil"/>
              <w:right w:val="nil"/>
            </w:tcBorders>
          </w:tcPr>
          <w:p w:rsidR="00147FAD" w:rsidRPr="009E18C8" w:rsidRDefault="00147FAD" w:rsidP="002A4A5A">
            <w:pPr>
              <w:spacing w:line="240" w:lineRule="auto"/>
              <w:rPr>
                <w:i/>
                <w:sz w:val="20"/>
                <w:szCs w:val="20"/>
                <w:lang w:val="en-US"/>
              </w:rPr>
            </w:pPr>
            <w:r w:rsidRPr="009E18C8">
              <w:rPr>
                <w:i/>
                <w:sz w:val="20"/>
                <w:szCs w:val="20"/>
                <w:lang w:val="en-US"/>
              </w:rPr>
              <w:t>Employment Status of Householder</w:t>
            </w:r>
          </w:p>
        </w:tc>
        <w:tc>
          <w:tcPr>
            <w:tcW w:w="2700" w:type="dxa"/>
            <w:tcBorders>
              <w:top w:val="nil"/>
              <w:left w:val="nil"/>
              <w:right w:val="nil"/>
            </w:tcBorders>
          </w:tcPr>
          <w:p w:rsidR="00147FAD" w:rsidRPr="009E18C8" w:rsidRDefault="00147FAD" w:rsidP="002A4A5A">
            <w:pPr>
              <w:spacing w:line="240" w:lineRule="auto"/>
              <w:rPr>
                <w:sz w:val="20"/>
                <w:szCs w:val="20"/>
                <w:lang w:val="en-US"/>
              </w:rPr>
            </w:pPr>
            <w:r w:rsidRPr="009E18C8">
              <w:rPr>
                <w:sz w:val="20"/>
                <w:szCs w:val="20"/>
                <w:lang w:val="en-US"/>
              </w:rPr>
              <w:t>Which of the following best describes the economic status of the householder?</w:t>
            </w:r>
          </w:p>
        </w:tc>
        <w:tc>
          <w:tcPr>
            <w:tcW w:w="5839" w:type="dxa"/>
            <w:tcBorders>
              <w:top w:val="nil"/>
              <w:left w:val="nil"/>
              <w:right w:val="nil"/>
            </w:tcBorders>
          </w:tcPr>
          <w:p w:rsidR="00147FAD" w:rsidRPr="009E18C8" w:rsidRDefault="00147FAD" w:rsidP="002A4A5A">
            <w:pPr>
              <w:spacing w:line="240" w:lineRule="auto"/>
              <w:rPr>
                <w:sz w:val="20"/>
                <w:szCs w:val="20"/>
                <w:lang w:val="en-US"/>
              </w:rPr>
            </w:pPr>
            <w:r w:rsidRPr="009E18C8">
              <w:rPr>
                <w:sz w:val="20"/>
                <w:szCs w:val="20"/>
                <w:lang w:val="en-US"/>
              </w:rPr>
              <w:t>Employed full-time (more than 30 hours a week), employed part-time (less than 30 hours a week), self-employed/freelance, unemployed/seeking work, retired, at home/family carer, full time student at college/university, long-term sick/disabled (</w:t>
            </w:r>
            <w:r w:rsidRPr="009E18C8">
              <w:rPr>
                <w:i/>
                <w:sz w:val="20"/>
                <w:szCs w:val="20"/>
                <w:lang w:val="en-US"/>
              </w:rPr>
              <w:t>categorical</w:t>
            </w:r>
            <w:r w:rsidRPr="009E18C8">
              <w:rPr>
                <w:sz w:val="20"/>
                <w:szCs w:val="20"/>
                <w:lang w:val="en-US"/>
              </w:rPr>
              <w:t>)</w:t>
            </w:r>
          </w:p>
        </w:tc>
        <w:tc>
          <w:tcPr>
            <w:tcW w:w="5348" w:type="dxa"/>
            <w:tcBorders>
              <w:top w:val="nil"/>
              <w:left w:val="nil"/>
              <w:right w:val="nil"/>
            </w:tcBorders>
          </w:tcPr>
          <w:p w:rsidR="00147FAD" w:rsidRPr="009E18C8" w:rsidRDefault="00147FAD" w:rsidP="002A4A5A">
            <w:pPr>
              <w:spacing w:line="240" w:lineRule="auto"/>
              <w:rPr>
                <w:sz w:val="20"/>
                <w:szCs w:val="20"/>
                <w:lang w:val="en-US"/>
              </w:rPr>
            </w:pPr>
            <w:r w:rsidRPr="009E18C8">
              <w:rPr>
                <w:sz w:val="20"/>
                <w:szCs w:val="20"/>
                <w:lang w:val="en-US"/>
              </w:rPr>
              <w:t>Employed full-time, employed part-time, self-employed/freelance, unemployed/seeking work, retired, at home/family carer, full time student at college/university, long-term sick/disabled</w:t>
            </w:r>
          </w:p>
        </w:tc>
      </w:tr>
    </w:tbl>
    <w:p w:rsidR="00147FAD" w:rsidRPr="007A11A9" w:rsidRDefault="00147FAD" w:rsidP="00005DE3">
      <w:pPr>
        <w:spacing w:line="240" w:lineRule="auto"/>
        <w:jc w:val="both"/>
        <w:rPr>
          <w:lang w:val="en-US"/>
        </w:rPr>
      </w:pPr>
    </w:p>
    <w:sectPr w:rsidR="00147FAD" w:rsidRPr="007A11A9" w:rsidSect="00005DE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E3"/>
    <w:rsid w:val="00005DE3"/>
    <w:rsid w:val="00147E86"/>
    <w:rsid w:val="00147FAD"/>
    <w:rsid w:val="001E4279"/>
    <w:rsid w:val="002A4A5A"/>
    <w:rsid w:val="004503F0"/>
    <w:rsid w:val="005C56F8"/>
    <w:rsid w:val="00632D48"/>
    <w:rsid w:val="007A11A9"/>
    <w:rsid w:val="008C2E44"/>
    <w:rsid w:val="0098420B"/>
    <w:rsid w:val="00995B7A"/>
    <w:rsid w:val="009B493D"/>
    <w:rsid w:val="009E18C8"/>
    <w:rsid w:val="00AE161D"/>
    <w:rsid w:val="00B42A76"/>
    <w:rsid w:val="00B81CB6"/>
    <w:rsid w:val="00CF5C5C"/>
    <w:rsid w:val="00E752C1"/>
    <w:rsid w:val="00EC2A6A"/>
    <w:rsid w:val="00EC78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E3"/>
    <w:pPr>
      <w:spacing w:line="276" w:lineRule="auto"/>
    </w:pPr>
    <w:rPr>
      <w:rFonts w:ascii="Times New Roman" w:eastAsia="Times New Roman" w:hAnsi="Times New Roman"/>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Line Spacing Normal"/>
    <w:basedOn w:val="Normal"/>
    <w:uiPriority w:val="99"/>
    <w:qFormat/>
    <w:rsid w:val="00CF5C5C"/>
    <w:pPr>
      <w:spacing w:line="480" w:lineRule="auto"/>
    </w:pPr>
    <w:rPr>
      <w:rFonts w:eastAsia="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345</Words>
  <Characters>1968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S2: CityForm survey questions pertaining to the six sociodemographic household characteristics that were identified as those that may influence the likelihood of households providing supplementary food for birds</dc:title>
  <dc:subject/>
  <dc:creator/>
  <cp:keywords/>
  <dc:description/>
  <cp:lastModifiedBy>Martin</cp:lastModifiedBy>
  <cp:revision>2</cp:revision>
  <dcterms:created xsi:type="dcterms:W3CDTF">2012-05-31T18:04:00Z</dcterms:created>
  <dcterms:modified xsi:type="dcterms:W3CDTF">2012-05-31T18:04:00Z</dcterms:modified>
</cp:coreProperties>
</file>