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1" w:rsidRDefault="00DF0E21" w:rsidP="00DF0E21">
      <w:r>
        <w:t xml:space="preserve">Table S2. </w:t>
      </w:r>
      <w:proofErr w:type="gramStart"/>
      <w:r>
        <w:t>Coefficient of genetic variation between leaf litter and shade treatments.</w:t>
      </w:r>
      <w:proofErr w:type="gramEnd"/>
      <w:r>
        <w:t xml:space="preserve"> Standard deviations are calculated from 10,000 bootstraps.</w:t>
      </w:r>
    </w:p>
    <w:p w:rsidR="00DF0E21" w:rsidRDefault="00DF0E21" w:rsidP="00DF0E21"/>
    <w:tbl>
      <w:tblPr>
        <w:tblW w:w="10548" w:type="dxa"/>
        <w:tblLayout w:type="fixed"/>
        <w:tblLook w:val="00BF"/>
      </w:tblPr>
      <w:tblGrid>
        <w:gridCol w:w="1303"/>
        <w:gridCol w:w="1029"/>
        <w:gridCol w:w="1029"/>
        <w:gridCol w:w="1029"/>
        <w:gridCol w:w="1029"/>
        <w:gridCol w:w="236"/>
        <w:gridCol w:w="1319"/>
        <w:gridCol w:w="1201"/>
        <w:gridCol w:w="1029"/>
        <w:gridCol w:w="1344"/>
      </w:tblGrid>
      <w:tr w:rsidR="00DF0E21">
        <w:trPr>
          <w:trHeight w:val="313"/>
        </w:trPr>
        <w:tc>
          <w:tcPr>
            <w:tcW w:w="1303" w:type="dxa"/>
          </w:tcPr>
          <w:p w:rsidR="00DF0E21" w:rsidRDefault="00DF0E21" w:rsidP="00826ED0">
            <w:r>
              <w:t>Population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F0E21" w:rsidRDefault="00DF0E21" w:rsidP="00826ED0">
            <w:r>
              <w:t>CT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F0E21" w:rsidRDefault="00DF0E21" w:rsidP="00826ED0">
            <w:r w:rsidRPr="0092200A">
              <w:t>CT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F0E21" w:rsidRDefault="00DF0E21" w:rsidP="00826ED0">
            <w:r w:rsidRPr="0092200A">
              <w:t>CT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F0E21" w:rsidRDefault="00DF0E21" w:rsidP="00826ED0">
            <w:r w:rsidRPr="0092200A">
              <w:t>CT</w:t>
            </w:r>
          </w:p>
        </w:tc>
        <w:tc>
          <w:tcPr>
            <w:tcW w:w="236" w:type="dxa"/>
          </w:tcPr>
          <w:p w:rsidR="00DF0E21" w:rsidRDefault="00DF0E21" w:rsidP="00826ED0"/>
        </w:tc>
        <w:tc>
          <w:tcPr>
            <w:tcW w:w="1319" w:type="dxa"/>
            <w:tcBorders>
              <w:bottom w:val="single" w:sz="4" w:space="0" w:color="auto"/>
            </w:tcBorders>
          </w:tcPr>
          <w:p w:rsidR="00DF0E21" w:rsidRDefault="00DF0E21" w:rsidP="00826ED0">
            <w:r>
              <w:t>RI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F0E21" w:rsidRDefault="00DF0E21" w:rsidP="00826ED0">
            <w:r w:rsidRPr="00211F0D">
              <w:t>RI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F0E21" w:rsidRDefault="00DF0E21" w:rsidP="00826ED0">
            <w:r w:rsidRPr="00211F0D">
              <w:t>RI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F0E21" w:rsidRDefault="00DF0E21" w:rsidP="00826ED0">
            <w:r w:rsidRPr="00211F0D">
              <w:t>RI</w:t>
            </w:r>
          </w:p>
        </w:tc>
      </w:tr>
      <w:tr w:rsidR="00DF0E21">
        <w:trPr>
          <w:trHeight w:val="674"/>
        </w:trPr>
        <w:tc>
          <w:tcPr>
            <w:tcW w:w="1303" w:type="dxa"/>
          </w:tcPr>
          <w:p w:rsidR="00DF0E21" w:rsidRDefault="00DF0E21" w:rsidP="00826ED0"/>
          <w:p w:rsidR="00DF0E21" w:rsidRDefault="00DF0E21" w:rsidP="00826ED0">
            <w:r>
              <w:t>Trait</w:t>
            </w:r>
          </w:p>
          <w:p w:rsidR="00DF0E21" w:rsidRDefault="00DF0E21" w:rsidP="00826ED0"/>
          <w:p w:rsidR="00DF0E21" w:rsidRDefault="00DF0E21" w:rsidP="00826ED0"/>
        </w:tc>
        <w:tc>
          <w:tcPr>
            <w:tcW w:w="1029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Bare Foliage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Bare Neutral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Leaf Foliage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Leaf Neutral</w:t>
            </w:r>
          </w:p>
        </w:tc>
        <w:tc>
          <w:tcPr>
            <w:tcW w:w="236" w:type="dxa"/>
          </w:tcPr>
          <w:p w:rsidR="00DF0E21" w:rsidRDefault="00DF0E21" w:rsidP="00826ED0"/>
        </w:tc>
        <w:tc>
          <w:tcPr>
            <w:tcW w:w="1319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Bare Foliage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Bare Neutral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Leaf Foliage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F0E21" w:rsidRDefault="00DF0E21" w:rsidP="00826ED0"/>
          <w:p w:rsidR="00DF0E21" w:rsidRDefault="00DF0E21" w:rsidP="00826ED0">
            <w:r>
              <w:t>Leaf Neutral</w:t>
            </w:r>
          </w:p>
          <w:p w:rsidR="00DF0E21" w:rsidRDefault="00DF0E21" w:rsidP="00826ED0"/>
        </w:tc>
      </w:tr>
      <w:tr w:rsidR="00DF0E21">
        <w:trPr>
          <w:trHeight w:val="646"/>
        </w:trPr>
        <w:tc>
          <w:tcPr>
            <w:tcW w:w="1303" w:type="dxa"/>
          </w:tcPr>
          <w:p w:rsidR="00DF0E21" w:rsidRDefault="00DF0E21" w:rsidP="00826ED0">
            <w:proofErr w:type="spellStart"/>
            <w:r>
              <w:t>Hypocotyl</w:t>
            </w:r>
            <w:proofErr w:type="spellEnd"/>
          </w:p>
          <w:p w:rsidR="00DF0E21" w:rsidRDefault="00DF0E21" w:rsidP="00826ED0"/>
          <w:p w:rsidR="00DF0E21" w:rsidRDefault="00DF0E21" w:rsidP="00826ED0"/>
        </w:tc>
        <w:tc>
          <w:tcPr>
            <w:tcW w:w="1029" w:type="dxa"/>
          </w:tcPr>
          <w:p w:rsidR="00DF0E21" w:rsidRPr="005D4887" w:rsidRDefault="00DF0E21" w:rsidP="00826ED0">
            <w:r>
              <w:t>0.58</w:t>
            </w:r>
            <w:r w:rsidRPr="005D4887">
              <w:t>,</w:t>
            </w:r>
            <w:r>
              <w:t xml:space="preserve"> </w:t>
            </w:r>
          </w:p>
          <w:p w:rsidR="00DF0E21" w:rsidRPr="0094321E" w:rsidRDefault="00DF0E21" w:rsidP="00826ED0">
            <w:pPr>
              <w:rPr>
                <w:rFonts w:ascii="Arial" w:eastAsia="Arial Unicode MS" w:hAnsi="Arial"/>
                <w:i/>
                <w:iCs/>
              </w:rPr>
            </w:pPr>
            <w:r w:rsidRPr="0094321E">
              <w:rPr>
                <w:i/>
                <w:iCs/>
              </w:rPr>
              <w:t xml:space="preserve">+/- 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03</w:t>
            </w:r>
          </w:p>
        </w:tc>
        <w:tc>
          <w:tcPr>
            <w:tcW w:w="1029" w:type="dxa"/>
          </w:tcPr>
          <w:p w:rsidR="00DF0E21" w:rsidRDefault="00DF0E21" w:rsidP="00826ED0">
            <w:r>
              <w:t>0</w:t>
            </w:r>
            <w:r w:rsidRPr="005D4887">
              <w:t>.</w:t>
            </w:r>
            <w:r>
              <w:t>79</w:t>
            </w:r>
          </w:p>
          <w:p w:rsidR="00DF0E21" w:rsidRPr="0094321E" w:rsidRDefault="00DF0E21" w:rsidP="00826ED0">
            <w:pPr>
              <w:rPr>
                <w:rFonts w:ascii="Arial" w:eastAsia="Arial Unicode MS" w:hAnsi="Arial"/>
                <w:i/>
                <w:iCs/>
              </w:rPr>
            </w:pPr>
            <w:r w:rsidRPr="0094321E">
              <w:rPr>
                <w:i/>
                <w:iCs/>
              </w:rPr>
              <w:t xml:space="preserve">+/- 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</w:p>
        </w:tc>
        <w:tc>
          <w:tcPr>
            <w:tcW w:w="1029" w:type="dxa"/>
          </w:tcPr>
          <w:p w:rsidR="00DF0E21" w:rsidRPr="005D4887" w:rsidRDefault="00DF0E21" w:rsidP="00826ED0">
            <w:r w:rsidRPr="005D4887">
              <w:t>0.</w:t>
            </w:r>
            <w:r>
              <w:t>39</w:t>
            </w:r>
            <w:r w:rsidRPr="005D4887">
              <w:t xml:space="preserve"> </w:t>
            </w:r>
          </w:p>
          <w:p w:rsidR="00DF0E21" w:rsidRPr="0094321E" w:rsidRDefault="00DF0E21" w:rsidP="00826ED0">
            <w:pPr>
              <w:rPr>
                <w:rFonts w:ascii="Arial" w:eastAsia="Arial Unicode MS" w:hAnsi="Arial"/>
                <w:i/>
                <w:iCs/>
              </w:rPr>
            </w:pPr>
            <w:r w:rsidRPr="0094321E">
              <w:rPr>
                <w:i/>
                <w:iCs/>
              </w:rPr>
              <w:t xml:space="preserve">+/- 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03</w:t>
            </w:r>
            <w:r w:rsidRPr="0094321E">
              <w:rPr>
                <w:i/>
                <w:iCs/>
              </w:rPr>
              <w:t xml:space="preserve"> </w:t>
            </w:r>
          </w:p>
        </w:tc>
        <w:tc>
          <w:tcPr>
            <w:tcW w:w="1029" w:type="dxa"/>
          </w:tcPr>
          <w:p w:rsidR="00DF0E21" w:rsidRDefault="00DF0E21" w:rsidP="00826ED0">
            <w:r>
              <w:t>0.43</w:t>
            </w:r>
          </w:p>
          <w:p w:rsidR="00DF0E21" w:rsidRPr="00C536E0" w:rsidRDefault="00DF0E21" w:rsidP="00826ED0">
            <w:r w:rsidRPr="005D4887">
              <w:t xml:space="preserve">+/- 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03</w:t>
            </w:r>
          </w:p>
        </w:tc>
        <w:tc>
          <w:tcPr>
            <w:tcW w:w="236" w:type="dxa"/>
          </w:tcPr>
          <w:p w:rsidR="00DF0E21" w:rsidRDefault="00DF0E21" w:rsidP="00826ED0"/>
        </w:tc>
        <w:tc>
          <w:tcPr>
            <w:tcW w:w="1319" w:type="dxa"/>
          </w:tcPr>
          <w:p w:rsidR="00DF0E21" w:rsidRDefault="00DF0E21" w:rsidP="00826ED0">
            <w:r>
              <w:t>0</w:t>
            </w:r>
            <w:r w:rsidRPr="005D4887">
              <w:t>.</w:t>
            </w:r>
            <w:r>
              <w:t>48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03</w:t>
            </w:r>
          </w:p>
        </w:tc>
        <w:tc>
          <w:tcPr>
            <w:tcW w:w="1201" w:type="dxa"/>
          </w:tcPr>
          <w:p w:rsidR="00DF0E21" w:rsidRDefault="00DF0E21" w:rsidP="00826ED0">
            <w:r>
              <w:t>0</w:t>
            </w:r>
            <w:r w:rsidRPr="005D4887">
              <w:t>.</w:t>
            </w:r>
            <w:r>
              <w:t>38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04</w:t>
            </w:r>
          </w:p>
        </w:tc>
        <w:tc>
          <w:tcPr>
            <w:tcW w:w="1029" w:type="dxa"/>
          </w:tcPr>
          <w:p w:rsidR="00DF0E21" w:rsidRDefault="00DF0E21" w:rsidP="00826ED0">
            <w:r>
              <w:t>0</w:t>
            </w:r>
            <w:r w:rsidRPr="005D4887">
              <w:t>.5</w:t>
            </w:r>
            <w:r>
              <w:t>3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4</w:t>
            </w:r>
          </w:p>
        </w:tc>
        <w:tc>
          <w:tcPr>
            <w:tcW w:w="1344" w:type="dxa"/>
          </w:tcPr>
          <w:p w:rsidR="00DF0E21" w:rsidRDefault="00DF0E21" w:rsidP="00826ED0">
            <w:r>
              <w:t>0</w:t>
            </w:r>
            <w:r w:rsidRPr="005D4887">
              <w:t>.5</w:t>
            </w:r>
            <w:r>
              <w:t>3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05</w:t>
            </w:r>
          </w:p>
        </w:tc>
      </w:tr>
      <w:tr w:rsidR="00DF0E21">
        <w:trPr>
          <w:trHeight w:val="626"/>
        </w:trPr>
        <w:tc>
          <w:tcPr>
            <w:tcW w:w="1303" w:type="dxa"/>
          </w:tcPr>
          <w:p w:rsidR="00DF0E21" w:rsidRDefault="00DF0E21" w:rsidP="00826ED0">
            <w:r>
              <w:t xml:space="preserve">First </w:t>
            </w:r>
            <w:proofErr w:type="spellStart"/>
            <w:r>
              <w:t>Internode</w:t>
            </w:r>
            <w:proofErr w:type="spellEnd"/>
            <w:r>
              <w:t xml:space="preserve"> </w:t>
            </w:r>
          </w:p>
          <w:p w:rsidR="00DF0E21" w:rsidRDefault="00DF0E21" w:rsidP="00826ED0"/>
        </w:tc>
        <w:tc>
          <w:tcPr>
            <w:tcW w:w="1029" w:type="dxa"/>
          </w:tcPr>
          <w:p w:rsidR="00DF0E21" w:rsidRPr="005D4887" w:rsidRDefault="00DF0E21" w:rsidP="00826ED0">
            <w:r>
              <w:t>1</w:t>
            </w:r>
            <w:r w:rsidRPr="005D4887">
              <w:t>.</w:t>
            </w:r>
            <w:r>
              <w:t>7</w:t>
            </w:r>
            <w:r w:rsidRPr="005D4887">
              <w:t xml:space="preserve">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</w:p>
        </w:tc>
        <w:tc>
          <w:tcPr>
            <w:tcW w:w="1029" w:type="dxa"/>
          </w:tcPr>
          <w:p w:rsidR="00DF0E21" w:rsidRPr="005D4887" w:rsidRDefault="00DF0E21" w:rsidP="00826ED0">
            <w:r w:rsidRPr="005D4887">
              <w:t>3.</w:t>
            </w:r>
            <w:r>
              <w:t>8</w:t>
            </w:r>
            <w:r w:rsidRPr="005D4887">
              <w:t xml:space="preserve">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9</w:t>
            </w:r>
          </w:p>
        </w:tc>
        <w:tc>
          <w:tcPr>
            <w:tcW w:w="1029" w:type="dxa"/>
          </w:tcPr>
          <w:p w:rsidR="00DF0E21" w:rsidRPr="005D4887" w:rsidRDefault="00DF0E21" w:rsidP="00826ED0">
            <w:r>
              <w:t>1.2</w:t>
            </w:r>
            <w:r w:rsidRPr="005D4887">
              <w:t xml:space="preserve">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  <w:tc>
          <w:tcPr>
            <w:tcW w:w="1029" w:type="dxa"/>
          </w:tcPr>
          <w:p w:rsidR="00DF0E21" w:rsidRDefault="00DF0E21" w:rsidP="00826ED0">
            <w:r>
              <w:t xml:space="preserve">1.4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</w:p>
        </w:tc>
        <w:tc>
          <w:tcPr>
            <w:tcW w:w="236" w:type="dxa"/>
          </w:tcPr>
          <w:p w:rsidR="00DF0E21" w:rsidRDefault="00DF0E21" w:rsidP="00826ED0"/>
        </w:tc>
        <w:tc>
          <w:tcPr>
            <w:tcW w:w="1319" w:type="dxa"/>
          </w:tcPr>
          <w:p w:rsidR="00DF0E21" w:rsidRPr="005D4887" w:rsidRDefault="00DF0E21" w:rsidP="00826ED0">
            <w:r>
              <w:t>2</w:t>
            </w:r>
            <w:r w:rsidRPr="005D4887">
              <w:t>.</w:t>
            </w:r>
            <w:r>
              <w:t>2</w:t>
            </w:r>
            <w:r w:rsidRPr="005D4887">
              <w:t xml:space="preserve">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  <w:tc>
          <w:tcPr>
            <w:tcW w:w="1201" w:type="dxa"/>
          </w:tcPr>
          <w:p w:rsidR="00DF0E21" w:rsidRDefault="00DF0E21" w:rsidP="00826ED0">
            <w:r>
              <w:t>1</w:t>
            </w:r>
            <w:r w:rsidRPr="005D4887">
              <w:t>.</w:t>
            </w:r>
            <w:r>
              <w:t>6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</w:t>
            </w:r>
            <w:r w:rsidRPr="0094321E">
              <w:rPr>
                <w:i/>
                <w:iCs/>
              </w:rPr>
              <w:t>.2</w:t>
            </w:r>
          </w:p>
        </w:tc>
        <w:tc>
          <w:tcPr>
            <w:tcW w:w="1029" w:type="dxa"/>
          </w:tcPr>
          <w:p w:rsidR="00DF0E21" w:rsidRDefault="00DF0E21" w:rsidP="00826ED0">
            <w:r>
              <w:t>1</w:t>
            </w:r>
            <w:r w:rsidRPr="005D4887">
              <w:t>.</w:t>
            </w:r>
            <w:r>
              <w:t>4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1</w:t>
            </w:r>
          </w:p>
        </w:tc>
        <w:tc>
          <w:tcPr>
            <w:tcW w:w="1344" w:type="dxa"/>
          </w:tcPr>
          <w:p w:rsidR="00DF0E21" w:rsidRDefault="00DF0E21" w:rsidP="00826ED0">
            <w:r w:rsidRPr="005D4887">
              <w:t>1.7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</w:tr>
      <w:tr w:rsidR="00DF0E21">
        <w:trPr>
          <w:trHeight w:val="644"/>
        </w:trPr>
        <w:tc>
          <w:tcPr>
            <w:tcW w:w="1303" w:type="dxa"/>
          </w:tcPr>
          <w:p w:rsidR="00DF0E21" w:rsidRDefault="00DF0E21" w:rsidP="00826ED0">
            <w:r>
              <w:t xml:space="preserve">Second </w:t>
            </w:r>
            <w:proofErr w:type="spellStart"/>
            <w:r>
              <w:t>Internode</w:t>
            </w:r>
            <w:proofErr w:type="spellEnd"/>
          </w:p>
          <w:p w:rsidR="00DF0E21" w:rsidRDefault="00DF0E21" w:rsidP="00826ED0"/>
        </w:tc>
        <w:tc>
          <w:tcPr>
            <w:tcW w:w="1029" w:type="dxa"/>
          </w:tcPr>
          <w:p w:rsidR="00DF0E21" w:rsidRPr="005D4887" w:rsidRDefault="00DF0E21" w:rsidP="00826ED0">
            <w:r>
              <w:t>2.5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rPr>
                <w:i/>
                <w:iCs/>
              </w:rPr>
              <w:t>0.2</w:t>
            </w:r>
          </w:p>
        </w:tc>
        <w:tc>
          <w:tcPr>
            <w:tcW w:w="1029" w:type="dxa"/>
          </w:tcPr>
          <w:p w:rsidR="00DF0E21" w:rsidRPr="005D4887" w:rsidRDefault="00DF0E21" w:rsidP="00826ED0">
            <w:r>
              <w:t>2.8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0.1</w:t>
            </w:r>
          </w:p>
        </w:tc>
        <w:tc>
          <w:tcPr>
            <w:tcW w:w="1029" w:type="dxa"/>
          </w:tcPr>
          <w:p w:rsidR="00DF0E21" w:rsidRDefault="00DF0E21" w:rsidP="00826ED0">
            <w:r>
              <w:t>1.4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0.2</w:t>
            </w:r>
          </w:p>
        </w:tc>
        <w:tc>
          <w:tcPr>
            <w:tcW w:w="1029" w:type="dxa"/>
          </w:tcPr>
          <w:p w:rsidR="00DF0E21" w:rsidRDefault="00DF0E21" w:rsidP="00826ED0">
            <w:r>
              <w:t>2.4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t>0.2</w:t>
            </w:r>
          </w:p>
        </w:tc>
        <w:tc>
          <w:tcPr>
            <w:tcW w:w="236" w:type="dxa"/>
          </w:tcPr>
          <w:p w:rsidR="00DF0E21" w:rsidRDefault="00DF0E21" w:rsidP="00826ED0"/>
        </w:tc>
        <w:tc>
          <w:tcPr>
            <w:tcW w:w="1319" w:type="dxa"/>
          </w:tcPr>
          <w:p w:rsidR="00DF0E21" w:rsidRPr="005D4887" w:rsidRDefault="00DF0E21" w:rsidP="00826ED0">
            <w:r>
              <w:t>1.0</w:t>
            </w:r>
            <w:r w:rsidRPr="005D4887">
              <w:t xml:space="preserve">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0.1</w:t>
            </w:r>
          </w:p>
        </w:tc>
        <w:tc>
          <w:tcPr>
            <w:tcW w:w="1201" w:type="dxa"/>
          </w:tcPr>
          <w:p w:rsidR="00DF0E21" w:rsidRPr="005D4887" w:rsidRDefault="00DF0E21" w:rsidP="00826ED0">
            <w:r>
              <w:t>1.7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0.1</w:t>
            </w:r>
          </w:p>
        </w:tc>
        <w:tc>
          <w:tcPr>
            <w:tcW w:w="1029" w:type="dxa"/>
          </w:tcPr>
          <w:p w:rsidR="00DF0E21" w:rsidRDefault="00DF0E21" w:rsidP="00826ED0">
            <w:r w:rsidRPr="005D4887">
              <w:t>2.</w:t>
            </w:r>
            <w:r>
              <w:t>5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</w:t>
            </w:r>
            <w:r w:rsidRPr="0094321E">
              <w:rPr>
                <w:i/>
                <w:iCs/>
              </w:rPr>
              <w:t>0.</w:t>
            </w:r>
            <w:r>
              <w:rPr>
                <w:i/>
                <w:iCs/>
              </w:rPr>
              <w:t>2</w:t>
            </w:r>
          </w:p>
        </w:tc>
        <w:tc>
          <w:tcPr>
            <w:tcW w:w="1344" w:type="dxa"/>
          </w:tcPr>
          <w:p w:rsidR="00DF0E21" w:rsidRDefault="00DF0E21" w:rsidP="00826ED0">
            <w:r>
              <w:t>3.7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</w:t>
            </w:r>
            <w:r w:rsidRPr="0094321E">
              <w:rPr>
                <w:i/>
                <w:iCs/>
              </w:rPr>
              <w:t>0.</w:t>
            </w:r>
            <w:r>
              <w:rPr>
                <w:i/>
                <w:iCs/>
              </w:rPr>
              <w:t>9</w:t>
            </w:r>
          </w:p>
        </w:tc>
      </w:tr>
      <w:tr w:rsidR="00DF0E21">
        <w:trPr>
          <w:trHeight w:val="626"/>
        </w:trPr>
        <w:tc>
          <w:tcPr>
            <w:tcW w:w="1303" w:type="dxa"/>
          </w:tcPr>
          <w:p w:rsidR="00DF0E21" w:rsidRDefault="00DF0E21" w:rsidP="00826ED0">
            <w:r>
              <w:t>Height</w:t>
            </w:r>
          </w:p>
          <w:p w:rsidR="00DF0E21" w:rsidRDefault="00DF0E21" w:rsidP="00826ED0"/>
          <w:p w:rsidR="00DF0E21" w:rsidRDefault="00DF0E21" w:rsidP="00826ED0"/>
        </w:tc>
        <w:tc>
          <w:tcPr>
            <w:tcW w:w="1029" w:type="dxa"/>
          </w:tcPr>
          <w:p w:rsidR="00DF0E21" w:rsidRDefault="00DF0E21" w:rsidP="00826ED0">
            <w:r>
              <w:t xml:space="preserve">10.7 </w:t>
            </w:r>
          </w:p>
          <w:p w:rsidR="00DF0E21" w:rsidRPr="00C536E0" w:rsidRDefault="00DF0E21" w:rsidP="00826ED0">
            <w:r w:rsidRPr="005D4887">
              <w:t xml:space="preserve">+/- 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8</w:t>
            </w:r>
          </w:p>
        </w:tc>
        <w:tc>
          <w:tcPr>
            <w:tcW w:w="1029" w:type="dxa"/>
          </w:tcPr>
          <w:p w:rsidR="00DF0E21" w:rsidRPr="005D4887" w:rsidRDefault="00DF0E21" w:rsidP="00826ED0">
            <w:r>
              <w:t>9.7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029" w:type="dxa"/>
          </w:tcPr>
          <w:p w:rsidR="00DF0E21" w:rsidRPr="005D4887" w:rsidRDefault="00DF0E21" w:rsidP="00826ED0">
            <w:r>
              <w:t>7.5</w:t>
            </w:r>
            <w:r w:rsidRPr="005D4887">
              <w:t xml:space="preserve"> 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>
              <w:rPr>
                <w:i/>
                <w:iCs/>
              </w:rPr>
              <w:t>0</w:t>
            </w:r>
            <w:r w:rsidRPr="0094321E">
              <w:rPr>
                <w:i/>
                <w:iCs/>
              </w:rPr>
              <w:t>.</w:t>
            </w:r>
            <w:r>
              <w:rPr>
                <w:i/>
                <w:iCs/>
              </w:rPr>
              <w:t>5</w:t>
            </w:r>
          </w:p>
        </w:tc>
        <w:tc>
          <w:tcPr>
            <w:tcW w:w="1029" w:type="dxa"/>
          </w:tcPr>
          <w:p w:rsidR="00DF0E21" w:rsidRPr="005D4887" w:rsidRDefault="00DF0E21" w:rsidP="00826ED0">
            <w:r>
              <w:t>6.4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 xml:space="preserve">+/- </w:t>
            </w:r>
            <w:r w:rsidRPr="0094321E">
              <w:rPr>
                <w:i/>
                <w:iCs/>
              </w:rPr>
              <w:t>0.</w:t>
            </w:r>
            <w:r>
              <w:rPr>
                <w:i/>
                <w:iCs/>
              </w:rPr>
              <w:t>8</w:t>
            </w:r>
          </w:p>
        </w:tc>
        <w:tc>
          <w:tcPr>
            <w:tcW w:w="236" w:type="dxa"/>
          </w:tcPr>
          <w:p w:rsidR="00DF0E21" w:rsidRDefault="00DF0E21" w:rsidP="00826ED0"/>
        </w:tc>
        <w:tc>
          <w:tcPr>
            <w:tcW w:w="1319" w:type="dxa"/>
          </w:tcPr>
          <w:p w:rsidR="00DF0E21" w:rsidRDefault="00DF0E21" w:rsidP="00826ED0">
            <w:r>
              <w:t>8.2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</w:t>
            </w:r>
            <w:r>
              <w:rPr>
                <w:i/>
                <w:iCs/>
              </w:rPr>
              <w:t>0.</w:t>
            </w:r>
            <w:r w:rsidRPr="0094321E">
              <w:rPr>
                <w:i/>
                <w:iCs/>
              </w:rPr>
              <w:t>7</w:t>
            </w:r>
          </w:p>
        </w:tc>
        <w:tc>
          <w:tcPr>
            <w:tcW w:w="1201" w:type="dxa"/>
          </w:tcPr>
          <w:p w:rsidR="00DF0E21" w:rsidRDefault="00DF0E21" w:rsidP="00826ED0">
            <w:r>
              <w:t>7.2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</w:t>
            </w:r>
            <w:r w:rsidRPr="0094321E">
              <w:rPr>
                <w:i/>
                <w:iCs/>
              </w:rPr>
              <w:t>0.</w:t>
            </w:r>
            <w:r>
              <w:rPr>
                <w:i/>
                <w:iCs/>
              </w:rPr>
              <w:t>5</w:t>
            </w:r>
          </w:p>
        </w:tc>
        <w:tc>
          <w:tcPr>
            <w:tcW w:w="1029" w:type="dxa"/>
          </w:tcPr>
          <w:p w:rsidR="00DF0E21" w:rsidRDefault="00DF0E21" w:rsidP="00826ED0">
            <w:r>
              <w:t>7.5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 w:rsidRPr="005D4887">
              <w:t>+/-</w:t>
            </w:r>
            <w:r>
              <w:t xml:space="preserve"> </w:t>
            </w:r>
            <w:r w:rsidRPr="0094321E">
              <w:rPr>
                <w:i/>
                <w:iCs/>
              </w:rPr>
              <w:t>0.</w:t>
            </w:r>
            <w:r>
              <w:rPr>
                <w:i/>
                <w:iCs/>
              </w:rPr>
              <w:t>5</w:t>
            </w:r>
          </w:p>
        </w:tc>
        <w:tc>
          <w:tcPr>
            <w:tcW w:w="1344" w:type="dxa"/>
          </w:tcPr>
          <w:p w:rsidR="00DF0E21" w:rsidRDefault="00DF0E21" w:rsidP="00826ED0">
            <w:r>
              <w:t>8</w:t>
            </w:r>
            <w:r w:rsidRPr="005D4887">
              <w:t>.</w:t>
            </w:r>
            <w:r>
              <w:t>0</w:t>
            </w:r>
          </w:p>
          <w:p w:rsidR="00DF0E21" w:rsidRPr="005D4887" w:rsidRDefault="00DF0E21" w:rsidP="00826ED0">
            <w:pPr>
              <w:rPr>
                <w:rFonts w:ascii="Arial" w:eastAsia="Arial Unicode MS" w:hAnsi="Arial"/>
              </w:rPr>
            </w:pPr>
            <w:r>
              <w:t xml:space="preserve">+/- </w:t>
            </w:r>
            <w:r w:rsidRPr="0094321E">
              <w:rPr>
                <w:i/>
                <w:iCs/>
              </w:rPr>
              <w:t>0</w:t>
            </w:r>
            <w:r>
              <w:rPr>
                <w:i/>
                <w:iCs/>
              </w:rPr>
              <w:t>.4</w:t>
            </w:r>
          </w:p>
        </w:tc>
      </w:tr>
    </w:tbl>
    <w:p w:rsidR="005E2951" w:rsidRDefault="00DF0E21"/>
    <w:sectPr w:rsidR="005E2951" w:rsidSect="00826ED0">
      <w:pgSz w:w="12240" w:h="15840"/>
      <w:pgMar w:top="1440" w:right="1800" w:bottom="1440" w:left="1800" w:gutter="0"/>
      <w:lnNumType w:countBy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C1C"/>
    <w:multiLevelType w:val="hybridMultilevel"/>
    <w:tmpl w:val="BF4A28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9614E"/>
    <w:multiLevelType w:val="hybridMultilevel"/>
    <w:tmpl w:val="3B6E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F20AC"/>
    <w:multiLevelType w:val="hybridMultilevel"/>
    <w:tmpl w:val="C02E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E21"/>
    <w:rsid w:val="00DF0E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21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0E21"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E21"/>
    <w:rPr>
      <w:rFonts w:ascii="Times New Roman" w:eastAsia="Times New Roman" w:hAnsi="Times New Roman" w:cs="Times New Roman"/>
      <w:i/>
      <w:iCs/>
    </w:rPr>
  </w:style>
  <w:style w:type="paragraph" w:styleId="PlainText">
    <w:name w:val="Plain Text"/>
    <w:basedOn w:val="Normal"/>
    <w:link w:val="PlainTextChar"/>
    <w:rsid w:val="00DF0E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0E2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DF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E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F0E21"/>
  </w:style>
  <w:style w:type="paragraph" w:styleId="Header">
    <w:name w:val="header"/>
    <w:basedOn w:val="Normal"/>
    <w:link w:val="HeaderChar"/>
    <w:rsid w:val="00DF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E2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DF0E2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F0E21"/>
    <w:rPr>
      <w:sz w:val="16"/>
      <w:szCs w:val="16"/>
    </w:rPr>
  </w:style>
  <w:style w:type="character" w:styleId="LineNumber">
    <w:name w:val="line number"/>
    <w:basedOn w:val="DefaultParagraphFont"/>
    <w:rsid w:val="00DF0E21"/>
  </w:style>
  <w:style w:type="paragraph" w:styleId="Caption">
    <w:name w:val="caption"/>
    <w:basedOn w:val="Normal"/>
    <w:next w:val="Normal"/>
    <w:qFormat/>
    <w:rsid w:val="00DF0E21"/>
    <w:pPr>
      <w:spacing w:before="120" w:after="120"/>
    </w:pPr>
    <w:rPr>
      <w:b/>
      <w:bCs/>
    </w:rPr>
  </w:style>
  <w:style w:type="character" w:styleId="Hyperlink">
    <w:name w:val="Hyperlink"/>
    <w:uiPriority w:val="99"/>
    <w:rsid w:val="00DF0E2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F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0E2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F0E21"/>
    <w:pPr>
      <w:autoSpaceDE w:val="0"/>
      <w:autoSpaceDN w:val="0"/>
    </w:pPr>
    <w:rPr>
      <w:rFonts w:ascii="Times" w:hAnsi="Times" w:cs="Times"/>
    </w:rPr>
  </w:style>
  <w:style w:type="paragraph" w:styleId="CommentText">
    <w:name w:val="annotation text"/>
    <w:basedOn w:val="Normal"/>
    <w:link w:val="CommentTextChar"/>
    <w:semiHidden/>
    <w:rsid w:val="00DF0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E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F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E21"/>
    <w:rPr>
      <w:b/>
      <w:bCs/>
    </w:rPr>
  </w:style>
  <w:style w:type="character" w:customStyle="1" w:styleId="apple-style-span">
    <w:name w:val="apple-style-span"/>
    <w:basedOn w:val="DefaultParagraphFont"/>
    <w:rsid w:val="00DF0E21"/>
  </w:style>
  <w:style w:type="character" w:customStyle="1" w:styleId="apple-converted-space">
    <w:name w:val="apple-converted-space"/>
    <w:basedOn w:val="DefaultParagraphFont"/>
    <w:rsid w:val="00DF0E21"/>
  </w:style>
  <w:style w:type="character" w:styleId="Emphasis">
    <w:name w:val="Emphasis"/>
    <w:uiPriority w:val="20"/>
    <w:qFormat/>
    <w:rsid w:val="00DF0E21"/>
    <w:rPr>
      <w:i/>
      <w:iCs/>
    </w:rPr>
  </w:style>
  <w:style w:type="character" w:styleId="FollowedHyperlink">
    <w:name w:val="FollowedHyperlink"/>
    <w:basedOn w:val="DefaultParagraphFont"/>
    <w:uiPriority w:val="99"/>
    <w:rsid w:val="00DF0E21"/>
    <w:rPr>
      <w:color w:val="800080"/>
      <w:u w:val="single"/>
    </w:rPr>
  </w:style>
  <w:style w:type="paragraph" w:customStyle="1" w:styleId="font5">
    <w:name w:val="font5"/>
    <w:basedOn w:val="Normal"/>
    <w:rsid w:val="00DF0E21"/>
    <w:pPr>
      <w:spacing w:beforeLines="1" w:afterLines="1"/>
    </w:pPr>
    <w:rPr>
      <w:sz w:val="22"/>
      <w:szCs w:val="22"/>
    </w:rPr>
  </w:style>
  <w:style w:type="paragraph" w:customStyle="1" w:styleId="font6">
    <w:name w:val="font6"/>
    <w:basedOn w:val="Normal"/>
    <w:rsid w:val="00DF0E21"/>
    <w:pPr>
      <w:spacing w:beforeLines="1" w:afterLines="1"/>
    </w:pPr>
    <w:rPr>
      <w:b/>
      <w:bCs/>
      <w:sz w:val="22"/>
      <w:szCs w:val="22"/>
    </w:rPr>
  </w:style>
  <w:style w:type="paragraph" w:customStyle="1" w:styleId="font7">
    <w:name w:val="font7"/>
    <w:basedOn w:val="Normal"/>
    <w:rsid w:val="00DF0E21"/>
    <w:pPr>
      <w:spacing w:beforeLines="1" w:afterLines="1"/>
    </w:pPr>
    <w:rPr>
      <w:b/>
      <w:bCs/>
      <w:sz w:val="22"/>
      <w:szCs w:val="22"/>
    </w:rPr>
  </w:style>
  <w:style w:type="paragraph" w:customStyle="1" w:styleId="font8">
    <w:name w:val="font8"/>
    <w:basedOn w:val="Normal"/>
    <w:rsid w:val="00DF0E21"/>
    <w:pPr>
      <w:spacing w:beforeLines="1" w:afterLines="1"/>
    </w:pPr>
    <w:rPr>
      <w:sz w:val="22"/>
      <w:szCs w:val="22"/>
    </w:rPr>
  </w:style>
  <w:style w:type="paragraph" w:customStyle="1" w:styleId="font9">
    <w:name w:val="font9"/>
    <w:basedOn w:val="Normal"/>
    <w:rsid w:val="00DF0E21"/>
    <w:pPr>
      <w:spacing w:beforeLines="1" w:afterLines="1"/>
    </w:pPr>
    <w:rPr>
      <w:b/>
      <w:bCs/>
      <w:sz w:val="22"/>
      <w:szCs w:val="22"/>
    </w:rPr>
  </w:style>
  <w:style w:type="paragraph" w:customStyle="1" w:styleId="xl24">
    <w:name w:val="xl24"/>
    <w:basedOn w:val="Normal"/>
    <w:rsid w:val="00DF0E21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DF0E21"/>
    <w:pPr>
      <w:spacing w:beforeLines="1" w:afterLines="1"/>
      <w:jc w:val="center"/>
      <w:textAlignment w:val="top"/>
    </w:pPr>
    <w:rPr>
      <w:b/>
      <w:bCs/>
      <w:sz w:val="22"/>
      <w:szCs w:val="22"/>
    </w:rPr>
  </w:style>
  <w:style w:type="paragraph" w:customStyle="1" w:styleId="xl26">
    <w:name w:val="xl26"/>
    <w:basedOn w:val="Normal"/>
    <w:rsid w:val="00DF0E21"/>
    <w:pPr>
      <w:spacing w:beforeLines="1" w:afterLines="1"/>
      <w:textAlignment w:val="top"/>
    </w:pPr>
    <w:rPr>
      <w:b/>
      <w:bCs/>
      <w:sz w:val="22"/>
      <w:szCs w:val="22"/>
    </w:rPr>
  </w:style>
  <w:style w:type="paragraph" w:customStyle="1" w:styleId="xl27">
    <w:name w:val="xl27"/>
    <w:basedOn w:val="Normal"/>
    <w:rsid w:val="00DF0E21"/>
    <w:pPr>
      <w:spacing w:beforeLines="1" w:afterLines="1"/>
      <w:textAlignment w:val="top"/>
    </w:pPr>
    <w:rPr>
      <w:sz w:val="22"/>
      <w:szCs w:val="22"/>
    </w:rPr>
  </w:style>
  <w:style w:type="paragraph" w:customStyle="1" w:styleId="xl28">
    <w:name w:val="xl28"/>
    <w:basedOn w:val="Normal"/>
    <w:rsid w:val="00DF0E21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DF0E21"/>
    <w:pPr>
      <w:spacing w:beforeLines="1" w:afterLines="1"/>
      <w:textAlignment w:val="top"/>
    </w:pPr>
    <w:rPr>
      <w:sz w:val="22"/>
      <w:szCs w:val="22"/>
    </w:rPr>
  </w:style>
  <w:style w:type="paragraph" w:customStyle="1" w:styleId="xl30">
    <w:name w:val="xl30"/>
    <w:basedOn w:val="Normal"/>
    <w:rsid w:val="00DF0E21"/>
    <w:pPr>
      <w:spacing w:beforeLines="1" w:afterLines="1"/>
      <w:jc w:val="center"/>
      <w:textAlignment w:val="top"/>
    </w:pPr>
    <w:rPr>
      <w:sz w:val="22"/>
      <w:szCs w:val="22"/>
    </w:rPr>
  </w:style>
  <w:style w:type="paragraph" w:customStyle="1" w:styleId="xl31">
    <w:name w:val="xl31"/>
    <w:basedOn w:val="Normal"/>
    <w:rsid w:val="00DF0E21"/>
    <w:pPr>
      <w:spacing w:beforeLines="1" w:afterLines="1"/>
      <w:textAlignment w:val="top"/>
    </w:pPr>
    <w:rPr>
      <w:b/>
      <w:bCs/>
      <w:sz w:val="22"/>
      <w:szCs w:val="22"/>
    </w:rPr>
  </w:style>
  <w:style w:type="paragraph" w:customStyle="1" w:styleId="xl32">
    <w:name w:val="xl32"/>
    <w:basedOn w:val="Normal"/>
    <w:rsid w:val="00DF0E21"/>
    <w:pPr>
      <w:spacing w:beforeLines="1" w:afterLines="1"/>
      <w:jc w:val="center"/>
      <w:textAlignment w:val="top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Eric</cp:lastModifiedBy>
  <cp:revision>1</cp:revision>
  <dcterms:created xsi:type="dcterms:W3CDTF">2012-03-06T14:01:00Z</dcterms:created>
  <dcterms:modified xsi:type="dcterms:W3CDTF">2012-03-06T14:02:00Z</dcterms:modified>
</cp:coreProperties>
</file>