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C38" w:rsidRPr="00E85FB5" w:rsidRDefault="00B9101E" w:rsidP="001B7C38">
      <w:pPr>
        <w:rPr>
          <w:rFonts w:cstheme="minorHAnsi"/>
          <w:b/>
          <w:lang w:val="en-US"/>
        </w:rPr>
      </w:pPr>
      <w:proofErr w:type="gramStart"/>
      <w:r w:rsidRPr="00E85FB5">
        <w:rPr>
          <w:rFonts w:cstheme="minorHAnsi"/>
          <w:b/>
          <w:lang w:val="en-US"/>
        </w:rPr>
        <w:t>Text S1.</w:t>
      </w:r>
      <w:proofErr w:type="gramEnd"/>
      <w:r w:rsidRPr="00E85FB5">
        <w:rPr>
          <w:rFonts w:cstheme="minorHAnsi"/>
          <w:b/>
          <w:lang w:val="en-US"/>
        </w:rPr>
        <w:t xml:space="preserve"> </w:t>
      </w:r>
      <w:r w:rsidR="00B554D0">
        <w:rPr>
          <w:rFonts w:cstheme="minorHAnsi"/>
          <w:b/>
          <w:lang w:val="en-US"/>
        </w:rPr>
        <w:t xml:space="preserve">Mathematical </w:t>
      </w:r>
      <w:r w:rsidR="001B7C38" w:rsidRPr="00E85FB5">
        <w:rPr>
          <w:rFonts w:cstheme="minorHAnsi"/>
          <w:b/>
          <w:lang w:val="en-US"/>
        </w:rPr>
        <w:t>Model Structure</w:t>
      </w:r>
      <w:r w:rsidR="00F939D1" w:rsidRPr="00E85FB5">
        <w:rPr>
          <w:rFonts w:cstheme="minorHAnsi"/>
          <w:b/>
          <w:lang w:val="en-US"/>
        </w:rPr>
        <w:t xml:space="preserve"> </w:t>
      </w:r>
      <w:r w:rsidRPr="00E85FB5">
        <w:rPr>
          <w:rFonts w:cstheme="minorHAnsi"/>
          <w:b/>
          <w:lang w:val="en-US"/>
        </w:rPr>
        <w:t>and Assumptions</w:t>
      </w:r>
    </w:p>
    <w:p w:rsidR="00EB3E71" w:rsidRPr="00E85FB5" w:rsidRDefault="002D7844" w:rsidP="00EB3E71">
      <w:pPr>
        <w:rPr>
          <w:rFonts w:cstheme="minorHAnsi"/>
          <w:lang w:val="en-US"/>
        </w:rPr>
      </w:pPr>
      <w:r w:rsidRPr="00E85FB5">
        <w:rPr>
          <w:rFonts w:cstheme="minorHAnsi"/>
          <w:lang w:val="en-US"/>
        </w:rPr>
        <w:t>The model structure</w:t>
      </w:r>
      <w:r w:rsidR="00AF1CCF" w:rsidRPr="00E85FB5">
        <w:rPr>
          <w:rFonts w:cstheme="minorHAnsi"/>
          <w:lang w:val="en-US"/>
        </w:rPr>
        <w:t xml:space="preserve">, detailed fully in Krumkamp </w:t>
      </w:r>
      <w:r w:rsidR="00AF1CCF" w:rsidRPr="00E85FB5">
        <w:rPr>
          <w:rFonts w:cstheme="minorHAnsi"/>
          <w:i/>
          <w:lang w:val="en-US"/>
        </w:rPr>
        <w:t>et al.</w:t>
      </w:r>
      <w:r w:rsidR="00AF1CCF" w:rsidRPr="00E85FB5">
        <w:rPr>
          <w:rFonts w:cstheme="minorHAnsi"/>
          <w:lang w:val="en-US"/>
        </w:rPr>
        <w:t xml:space="preserve"> </w:t>
      </w:r>
      <w:r w:rsidR="002F3538" w:rsidRPr="00E85FB5">
        <w:rPr>
          <w:rFonts w:cstheme="minorHAnsi"/>
          <w:lang w:val="en-US"/>
        </w:rPr>
        <w:fldChar w:fldCharType="begin"/>
      </w:r>
      <w:r w:rsidR="00330433" w:rsidRPr="00E85FB5">
        <w:rPr>
          <w:rFonts w:cstheme="minorHAnsi"/>
          <w:lang w:val="en-US"/>
        </w:rPr>
        <w:instrText xml:space="preserve"> ADDIN EN.CITE &lt;EndNote&gt;&lt;Cite&gt;&lt;Author&gt;Krumkamp&lt;/Author&gt;&lt;Year&gt;2011&lt;/Year&gt;&lt;RecNum&gt;504&lt;/RecNum&gt;&lt;record&gt;&lt;rec-number&gt;504&lt;/rec-number&gt;&lt;foreign-keys&gt;&lt;key app="EN" db-id="ffvsst00nfxd57eewrsvpfs7teva9vrtd9fs"&gt;504&lt;/key&gt;&lt;/foreign-keys&gt;&lt;ref-type name="Journal Article"&gt;17&lt;/ref-type&gt;&lt;contributors&gt;&lt;authors&gt;&lt;author&gt;Krumkamp, R.&lt;/author&gt;&lt;author&gt;Kretzschmar, M.&lt;/author&gt;&lt;author&gt;Rudge, J. W.&lt;/author&gt;&lt;author&gt;Ahmad, A.&lt;/author&gt;&lt;author&gt;Hanvoravongchai, P.&lt;/author&gt;&lt;author&gt;Westenhoefer, J.&lt;/author&gt;&lt;author&gt;Stein, M.&lt;/author&gt;&lt;author&gt;Putthasri, W.&lt;/author&gt;&lt;author&gt;Coker, R.&lt;/author&gt;&lt;/authors&gt;&lt;/contributors&gt;&lt;auth-address&gt;Hamburg University of Applied Sciences, Faculty of Life Sciences, Department of Health Sciences, Hamburg, Germany. ralf.krumkamp@haw-hamburg.de&lt;/auth-address&gt;&lt;titles&gt;&lt;title&gt;Health service resource needs for pandemic influenza in developing countries: a linked transmission dynamics, interventions and resource demand model&lt;/title&gt;&lt;secondary-title&gt;Epidemiology and Infection&lt;/secondary-title&gt;&lt;/titles&gt;&lt;periodical&gt;&lt;full-title&gt;Epidemiology and infection&lt;/full-title&gt;&lt;/periodical&gt;&lt;pages&gt;59-67&lt;/pages&gt;&lt;volume&gt;139&lt;/volume&gt;&lt;number&gt;1&lt;/number&gt;&lt;edition&gt;2010/10/06&lt;/edition&gt;&lt;dates&gt;&lt;year&gt;2011&lt;/year&gt;&lt;pub-dates&gt;&lt;date&gt;Jan&lt;/date&gt;&lt;/pub-dates&gt;&lt;/dates&gt;&lt;isbn&gt;1469-4409 (Electronic)&amp;#xD;0950-2688 (Linking)&lt;/isbn&gt;&lt;accession-num&gt;20920381&lt;/accession-num&gt;&lt;urls&gt;&lt;related-urls&gt;&lt;url&gt;http://www.ncbi.nlm.nih.gov/entrez/query.fcgi?cmd=Retrieve&amp;amp;db=PubMed&amp;amp;dopt=Citation&amp;amp;list_uids=20920381&lt;/url&gt;&lt;/related-urls&gt;&lt;/urls&gt;&lt;electronic-resource-num&gt;S0950268810002220 [pii]&amp;#xD;10.1017/S0950268810002220&lt;/electronic-resource-num&gt;&lt;/record&gt;&lt;/Cite&gt;&lt;/EndNote&gt;</w:instrText>
      </w:r>
      <w:r w:rsidR="002F3538" w:rsidRPr="00E85FB5">
        <w:rPr>
          <w:rFonts w:cstheme="minorHAnsi"/>
          <w:lang w:val="en-US"/>
        </w:rPr>
        <w:fldChar w:fldCharType="separate"/>
      </w:r>
      <w:r w:rsidR="00AF1CCF" w:rsidRPr="00E85FB5">
        <w:rPr>
          <w:rFonts w:cstheme="minorHAnsi"/>
          <w:noProof/>
          <w:lang w:val="en-US"/>
        </w:rPr>
        <w:t>[1]</w:t>
      </w:r>
      <w:r w:rsidR="002F3538" w:rsidRPr="00E85FB5">
        <w:rPr>
          <w:rFonts w:cstheme="minorHAnsi"/>
          <w:lang w:val="en-US"/>
        </w:rPr>
        <w:fldChar w:fldCharType="end"/>
      </w:r>
      <w:r w:rsidR="00AF1CCF" w:rsidRPr="00E85FB5">
        <w:rPr>
          <w:rFonts w:cstheme="minorHAnsi"/>
          <w:lang w:val="en-US"/>
        </w:rPr>
        <w:t>, is</w:t>
      </w:r>
      <w:r w:rsidRPr="00E85FB5">
        <w:rPr>
          <w:rFonts w:cstheme="minorHAnsi"/>
          <w:lang w:val="en-US"/>
        </w:rPr>
        <w:t xml:space="preserve"> based </w:t>
      </w:r>
      <w:r w:rsidR="003F2A51" w:rsidRPr="00E85FB5">
        <w:rPr>
          <w:rFonts w:cstheme="minorHAnsi"/>
          <w:lang w:val="en-US"/>
        </w:rPr>
        <w:t>on</w:t>
      </w:r>
      <w:r w:rsidRPr="00E85FB5">
        <w:rPr>
          <w:rFonts w:cstheme="minorHAnsi"/>
          <w:lang w:val="en-US"/>
        </w:rPr>
        <w:t xml:space="preserve"> a Susceptible-Exposed-Infectious-Removed (SEIR) model</w:t>
      </w:r>
      <w:r w:rsidR="00AF1CCF" w:rsidRPr="00E85FB5">
        <w:rPr>
          <w:rFonts w:cstheme="minorHAnsi"/>
          <w:lang w:val="en-US"/>
        </w:rPr>
        <w:t>.</w:t>
      </w:r>
      <w:r w:rsidRPr="00E85FB5">
        <w:rPr>
          <w:rFonts w:cstheme="minorHAnsi"/>
          <w:lang w:val="en-US"/>
        </w:rPr>
        <w:t xml:space="preserve"> </w:t>
      </w:r>
      <w:r w:rsidR="00AF1CCF" w:rsidRPr="00E85FB5">
        <w:rPr>
          <w:rFonts w:cstheme="minorHAnsi"/>
          <w:lang w:val="en-US"/>
        </w:rPr>
        <w:t>T</w:t>
      </w:r>
      <w:r w:rsidR="00EB3E71" w:rsidRPr="00E85FB5">
        <w:rPr>
          <w:rFonts w:cstheme="minorHAnsi"/>
          <w:lang w:val="en-US"/>
        </w:rPr>
        <w:t>he population was divided into 17 compartments, defined as Susceptible (S); Exposed (E); Pre-symptomatic infectious cases (A); Asymptomatic infection (</w:t>
      </w:r>
      <w:proofErr w:type="spellStart"/>
      <w:r w:rsidR="00EB3E71" w:rsidRPr="00E85FB5">
        <w:rPr>
          <w:rFonts w:cstheme="minorHAnsi"/>
          <w:lang w:val="en-US"/>
        </w:rPr>
        <w:t>I</w:t>
      </w:r>
      <w:r w:rsidR="00EB3E71" w:rsidRPr="00E85FB5">
        <w:rPr>
          <w:rFonts w:cstheme="minorHAnsi"/>
          <w:vertAlign w:val="subscript"/>
          <w:lang w:val="en-US"/>
        </w:rPr>
        <w:t>a</w:t>
      </w:r>
      <w:proofErr w:type="spellEnd"/>
      <w:r w:rsidR="00EB3E71" w:rsidRPr="00E85FB5">
        <w:rPr>
          <w:rFonts w:cstheme="minorHAnsi"/>
          <w:lang w:val="en-US"/>
        </w:rPr>
        <w:t xml:space="preserve"> and I</w:t>
      </w:r>
      <w:r w:rsidR="00EB3E71" w:rsidRPr="00E85FB5">
        <w:rPr>
          <w:rFonts w:cstheme="minorHAnsi"/>
          <w:vertAlign w:val="subscript"/>
          <w:lang w:val="en-US"/>
        </w:rPr>
        <w:t>a2</w:t>
      </w:r>
      <w:r w:rsidR="00EB3E71" w:rsidRPr="00E85FB5">
        <w:rPr>
          <w:rFonts w:cstheme="minorHAnsi"/>
          <w:lang w:val="en-US"/>
        </w:rPr>
        <w:t>); Mild infection (</w:t>
      </w:r>
      <w:proofErr w:type="spellStart"/>
      <w:r w:rsidR="00EB3E71" w:rsidRPr="00E85FB5">
        <w:rPr>
          <w:rFonts w:cstheme="minorHAnsi"/>
          <w:lang w:val="en-US"/>
        </w:rPr>
        <w:t>I</w:t>
      </w:r>
      <w:r w:rsidR="00EB3E71" w:rsidRPr="00E85FB5">
        <w:rPr>
          <w:rFonts w:cstheme="minorHAnsi"/>
          <w:vertAlign w:val="subscript"/>
          <w:lang w:val="en-US"/>
        </w:rPr>
        <w:t>m</w:t>
      </w:r>
      <w:proofErr w:type="spellEnd"/>
      <w:r w:rsidR="00EB3E71" w:rsidRPr="00E85FB5">
        <w:rPr>
          <w:rFonts w:cstheme="minorHAnsi"/>
          <w:lang w:val="en-US"/>
        </w:rPr>
        <w:t>); Mild infection with antiviral treatment (</w:t>
      </w:r>
      <w:proofErr w:type="spellStart"/>
      <w:r w:rsidR="00EB3E71" w:rsidRPr="00E85FB5">
        <w:rPr>
          <w:rFonts w:cstheme="minorHAnsi"/>
          <w:lang w:val="en-US"/>
        </w:rPr>
        <w:t>I</w:t>
      </w:r>
      <w:r w:rsidR="00EB3E71" w:rsidRPr="00E85FB5">
        <w:rPr>
          <w:rFonts w:cstheme="minorHAnsi"/>
          <w:vertAlign w:val="subscript"/>
          <w:lang w:val="en-US"/>
        </w:rPr>
        <w:t>ma</w:t>
      </w:r>
      <w:proofErr w:type="spellEnd"/>
      <w:r w:rsidR="00EB3E71" w:rsidRPr="00E85FB5">
        <w:rPr>
          <w:rFonts w:cstheme="minorHAnsi"/>
          <w:lang w:val="en-US"/>
        </w:rPr>
        <w:t>), mild infection without antiviral treatment (I</w:t>
      </w:r>
      <w:r w:rsidR="00EB3E71" w:rsidRPr="00E85FB5">
        <w:rPr>
          <w:rFonts w:cstheme="minorHAnsi"/>
          <w:vertAlign w:val="subscript"/>
          <w:lang w:val="en-US"/>
        </w:rPr>
        <w:t>m2</w:t>
      </w:r>
      <w:r w:rsidR="00EB3E71" w:rsidRPr="00E85FB5">
        <w:rPr>
          <w:rFonts w:cstheme="minorHAnsi"/>
          <w:lang w:val="en-US"/>
        </w:rPr>
        <w:t>); Critically ill requiring hospital</w:t>
      </w:r>
      <w:r w:rsidR="00686EF2" w:rsidRPr="00E85FB5">
        <w:rPr>
          <w:rFonts w:cstheme="minorHAnsi"/>
          <w:lang w:val="en-US"/>
        </w:rPr>
        <w:t>i</w:t>
      </w:r>
      <w:r w:rsidR="004F32F5">
        <w:rPr>
          <w:rFonts w:cstheme="minorHAnsi"/>
          <w:lang w:val="en-US"/>
        </w:rPr>
        <w:t>z</w:t>
      </w:r>
      <w:r w:rsidR="00686EF2" w:rsidRPr="00E85FB5">
        <w:rPr>
          <w:rFonts w:cstheme="minorHAnsi"/>
          <w:lang w:val="en-US"/>
        </w:rPr>
        <w:t>a</w:t>
      </w:r>
      <w:r w:rsidR="00EB3E71" w:rsidRPr="00E85FB5">
        <w:rPr>
          <w:rFonts w:cstheme="minorHAnsi"/>
          <w:lang w:val="en-US"/>
        </w:rPr>
        <w:t>tion (</w:t>
      </w:r>
      <w:proofErr w:type="spellStart"/>
      <w:r w:rsidR="00EB3E71" w:rsidRPr="00E85FB5">
        <w:rPr>
          <w:rFonts w:cstheme="minorHAnsi"/>
          <w:lang w:val="en-US"/>
        </w:rPr>
        <w:t>I</w:t>
      </w:r>
      <w:r w:rsidR="00EB3E71" w:rsidRPr="00E85FB5">
        <w:rPr>
          <w:rFonts w:cstheme="minorHAnsi"/>
          <w:vertAlign w:val="subscript"/>
          <w:lang w:val="en-US"/>
        </w:rPr>
        <w:t>c</w:t>
      </w:r>
      <w:proofErr w:type="spellEnd"/>
      <w:r w:rsidR="00EB3E71" w:rsidRPr="00E85FB5">
        <w:rPr>
          <w:rFonts w:cstheme="minorHAnsi"/>
          <w:lang w:val="en-US"/>
        </w:rPr>
        <w:t xml:space="preserve">); </w:t>
      </w:r>
      <w:r w:rsidR="00686EF2" w:rsidRPr="00E85FB5">
        <w:rPr>
          <w:rFonts w:cstheme="minorHAnsi"/>
          <w:lang w:val="en-US"/>
        </w:rPr>
        <w:t>H</w:t>
      </w:r>
      <w:r w:rsidR="00EB3E71" w:rsidRPr="00E85FB5">
        <w:rPr>
          <w:rFonts w:cstheme="minorHAnsi"/>
          <w:lang w:val="en-US"/>
        </w:rPr>
        <w:t>ospitali</w:t>
      </w:r>
      <w:r w:rsidR="004F32F5">
        <w:rPr>
          <w:rFonts w:cstheme="minorHAnsi"/>
          <w:lang w:val="en-US"/>
        </w:rPr>
        <w:t>z</w:t>
      </w:r>
      <w:r w:rsidR="00EB3E71" w:rsidRPr="00E85FB5">
        <w:rPr>
          <w:rFonts w:cstheme="minorHAnsi"/>
          <w:lang w:val="en-US"/>
        </w:rPr>
        <w:t xml:space="preserve">ed </w:t>
      </w:r>
      <w:r w:rsidR="00686EF2" w:rsidRPr="00E85FB5">
        <w:rPr>
          <w:rFonts w:cstheme="minorHAnsi"/>
          <w:lang w:val="en-US"/>
        </w:rPr>
        <w:t>and</w:t>
      </w:r>
      <w:r w:rsidR="00EB3E71" w:rsidRPr="00E85FB5">
        <w:rPr>
          <w:rFonts w:cstheme="minorHAnsi"/>
          <w:lang w:val="en-US"/>
        </w:rPr>
        <w:t xml:space="preserve"> infectious (</w:t>
      </w:r>
      <w:proofErr w:type="spellStart"/>
      <w:r w:rsidR="00EB3E71" w:rsidRPr="00E85FB5">
        <w:rPr>
          <w:rFonts w:cstheme="minorHAnsi"/>
          <w:lang w:val="en-US"/>
        </w:rPr>
        <w:t>I</w:t>
      </w:r>
      <w:r w:rsidR="00EB3E71" w:rsidRPr="00E85FB5">
        <w:rPr>
          <w:rFonts w:cstheme="minorHAnsi"/>
          <w:vertAlign w:val="subscript"/>
          <w:lang w:val="en-US"/>
        </w:rPr>
        <w:t>h</w:t>
      </w:r>
      <w:proofErr w:type="spellEnd"/>
      <w:r w:rsidR="00EB3E71" w:rsidRPr="00E85FB5">
        <w:rPr>
          <w:rFonts w:cstheme="minorHAnsi"/>
          <w:lang w:val="en-US"/>
        </w:rPr>
        <w:t xml:space="preserve">); </w:t>
      </w:r>
      <w:r w:rsidR="00686EF2" w:rsidRPr="00E85FB5">
        <w:rPr>
          <w:rFonts w:cstheme="minorHAnsi"/>
          <w:lang w:val="en-US"/>
        </w:rPr>
        <w:t>Hospitali</w:t>
      </w:r>
      <w:r w:rsidR="004F32F5">
        <w:rPr>
          <w:rFonts w:cstheme="minorHAnsi"/>
          <w:lang w:val="en-US"/>
        </w:rPr>
        <w:t>z</w:t>
      </w:r>
      <w:r w:rsidR="00686EF2" w:rsidRPr="00E85FB5">
        <w:rPr>
          <w:rFonts w:cstheme="minorHAnsi"/>
          <w:lang w:val="en-US"/>
        </w:rPr>
        <w:t>ed and non-infectious</w:t>
      </w:r>
      <w:r w:rsidR="00EB3E71" w:rsidRPr="00E85FB5">
        <w:rPr>
          <w:rFonts w:cstheme="minorHAnsi"/>
          <w:lang w:val="en-US"/>
        </w:rPr>
        <w:t xml:space="preserve"> (I</w:t>
      </w:r>
      <w:r w:rsidR="00EB3E71" w:rsidRPr="00E85FB5">
        <w:rPr>
          <w:rFonts w:cstheme="minorHAnsi"/>
          <w:vertAlign w:val="subscript"/>
          <w:lang w:val="en-US"/>
        </w:rPr>
        <w:t>h2</w:t>
      </w:r>
      <w:r w:rsidR="00EB3E71" w:rsidRPr="00E85FB5">
        <w:rPr>
          <w:rFonts w:cstheme="minorHAnsi"/>
          <w:lang w:val="en-US"/>
        </w:rPr>
        <w:t xml:space="preserve">); Critically ill </w:t>
      </w:r>
      <w:r w:rsidR="003F2A51" w:rsidRPr="00E85FB5">
        <w:rPr>
          <w:rFonts w:cstheme="minorHAnsi"/>
          <w:lang w:val="en-US"/>
        </w:rPr>
        <w:t xml:space="preserve">at home </w:t>
      </w:r>
      <w:r w:rsidR="00EB3E71" w:rsidRPr="00E85FB5">
        <w:rPr>
          <w:rFonts w:cstheme="minorHAnsi"/>
          <w:lang w:val="en-US"/>
        </w:rPr>
        <w:t>with antiviral treatment (I</w:t>
      </w:r>
      <w:r w:rsidR="00EB3E71" w:rsidRPr="00E85FB5">
        <w:rPr>
          <w:rFonts w:cstheme="minorHAnsi"/>
          <w:vertAlign w:val="subscript"/>
          <w:lang w:val="en-US"/>
        </w:rPr>
        <w:t>ca</w:t>
      </w:r>
      <w:r w:rsidR="00EB3E71" w:rsidRPr="00E85FB5">
        <w:rPr>
          <w:rFonts w:cstheme="minorHAnsi"/>
          <w:lang w:val="en-US"/>
        </w:rPr>
        <w:t xml:space="preserve">); Critically ill </w:t>
      </w:r>
      <w:r w:rsidR="003F2A51" w:rsidRPr="00E85FB5">
        <w:rPr>
          <w:rFonts w:cstheme="minorHAnsi"/>
          <w:lang w:val="en-US"/>
        </w:rPr>
        <w:t xml:space="preserve">at home </w:t>
      </w:r>
      <w:r w:rsidR="00EB3E71" w:rsidRPr="00E85FB5">
        <w:rPr>
          <w:rFonts w:cstheme="minorHAnsi"/>
          <w:lang w:val="en-US"/>
        </w:rPr>
        <w:t>without antiviral treatment (I</w:t>
      </w:r>
      <w:r w:rsidR="00EB3E71" w:rsidRPr="00E85FB5">
        <w:rPr>
          <w:rFonts w:cstheme="minorHAnsi"/>
          <w:vertAlign w:val="subscript"/>
          <w:lang w:val="en-US"/>
        </w:rPr>
        <w:t>c2</w:t>
      </w:r>
      <w:r w:rsidR="00EB3E71" w:rsidRPr="00E85FB5">
        <w:rPr>
          <w:rFonts w:cstheme="minorHAnsi"/>
          <w:lang w:val="en-US"/>
        </w:rPr>
        <w:t xml:space="preserve">); Ventilated </w:t>
      </w:r>
      <w:r w:rsidR="00686EF2" w:rsidRPr="00E85FB5">
        <w:rPr>
          <w:rFonts w:cstheme="minorHAnsi"/>
          <w:lang w:val="en-US"/>
        </w:rPr>
        <w:t>and</w:t>
      </w:r>
      <w:r w:rsidR="00EB3E71" w:rsidRPr="00E85FB5">
        <w:rPr>
          <w:rFonts w:cstheme="minorHAnsi"/>
          <w:lang w:val="en-US"/>
        </w:rPr>
        <w:t xml:space="preserve"> infectious (V); Ventilated </w:t>
      </w:r>
      <w:r w:rsidR="00686EF2" w:rsidRPr="00E85FB5">
        <w:rPr>
          <w:rFonts w:cstheme="minorHAnsi"/>
          <w:lang w:val="en-US"/>
        </w:rPr>
        <w:t xml:space="preserve">and </w:t>
      </w:r>
      <w:r w:rsidR="00EB3E71" w:rsidRPr="00E85FB5">
        <w:rPr>
          <w:rFonts w:cstheme="minorHAnsi"/>
          <w:lang w:val="en-US"/>
        </w:rPr>
        <w:t>non-infectious (V</w:t>
      </w:r>
      <w:r w:rsidR="00EB3E71" w:rsidRPr="00E85FB5">
        <w:rPr>
          <w:rFonts w:cstheme="minorHAnsi"/>
          <w:vertAlign w:val="subscript"/>
          <w:lang w:val="en-US"/>
        </w:rPr>
        <w:t>2</w:t>
      </w:r>
      <w:r w:rsidR="00EB3E71" w:rsidRPr="00E85FB5">
        <w:rPr>
          <w:rFonts w:cstheme="minorHAnsi"/>
          <w:lang w:val="en-US"/>
        </w:rPr>
        <w:t>)</w:t>
      </w:r>
      <w:r w:rsidR="00686EF2" w:rsidRPr="00E85FB5">
        <w:rPr>
          <w:rFonts w:cstheme="minorHAnsi"/>
          <w:lang w:val="en-US"/>
        </w:rPr>
        <w:t>;</w:t>
      </w:r>
      <w:r w:rsidR="00EB3E71" w:rsidRPr="00E85FB5">
        <w:rPr>
          <w:rFonts w:cstheme="minorHAnsi"/>
          <w:lang w:val="en-US"/>
        </w:rPr>
        <w:t xml:space="preserve"> Dea</w:t>
      </w:r>
      <w:r w:rsidR="00686EF2" w:rsidRPr="00E85FB5">
        <w:rPr>
          <w:rFonts w:cstheme="minorHAnsi"/>
          <w:lang w:val="en-US"/>
        </w:rPr>
        <w:t>d</w:t>
      </w:r>
      <w:r w:rsidR="00EB3E71" w:rsidRPr="00E85FB5">
        <w:rPr>
          <w:rFonts w:cstheme="minorHAnsi"/>
          <w:lang w:val="en-US"/>
        </w:rPr>
        <w:t xml:space="preserve"> (D)</w:t>
      </w:r>
      <w:r w:rsidR="00686EF2" w:rsidRPr="00E85FB5">
        <w:rPr>
          <w:rFonts w:cstheme="minorHAnsi"/>
          <w:lang w:val="en-US"/>
        </w:rPr>
        <w:t>;</w:t>
      </w:r>
      <w:r w:rsidR="00EB3E71" w:rsidRPr="00E85FB5">
        <w:rPr>
          <w:rFonts w:cstheme="minorHAnsi"/>
          <w:lang w:val="en-US"/>
        </w:rPr>
        <w:t xml:space="preserve"> and Recovered (R).</w:t>
      </w:r>
    </w:p>
    <w:p w:rsidR="001B7C38" w:rsidRPr="00E85FB5" w:rsidRDefault="002D7844" w:rsidP="001B7C38">
      <w:pPr>
        <w:rPr>
          <w:rFonts w:cstheme="minorHAnsi"/>
          <w:lang w:val="en-US"/>
        </w:rPr>
      </w:pPr>
      <w:r w:rsidRPr="00E85FB5">
        <w:rPr>
          <w:rFonts w:cstheme="minorHAnsi"/>
          <w:lang w:val="en-US"/>
        </w:rPr>
        <w:t>The differential equations</w:t>
      </w:r>
      <w:r w:rsidR="00EB3E71" w:rsidRPr="00E85FB5">
        <w:rPr>
          <w:rFonts w:cstheme="minorHAnsi"/>
          <w:lang w:val="en-US"/>
        </w:rPr>
        <w:t xml:space="preserve"> of the model, defining the rates of change in these</w:t>
      </w:r>
      <w:r w:rsidRPr="00E85FB5">
        <w:rPr>
          <w:rFonts w:cstheme="minorHAnsi"/>
          <w:lang w:val="en-US"/>
        </w:rPr>
        <w:t xml:space="preserve"> state variables </w:t>
      </w:r>
      <w:r w:rsidR="00EB3E71" w:rsidRPr="00E85FB5">
        <w:rPr>
          <w:rFonts w:cstheme="minorHAnsi"/>
          <w:lang w:val="en-US"/>
        </w:rPr>
        <w:t>over time, are defined as follows:</w:t>
      </w:r>
    </w:p>
    <w:p w:rsidR="001D67A3" w:rsidRPr="00E85FB5" w:rsidRDefault="001D67A3" w:rsidP="001D67A3">
      <w:pPr>
        <w:rPr>
          <w:rFonts w:cstheme="minorHAnsi"/>
          <w:lang w:val="en-US"/>
        </w:rPr>
      </w:pPr>
      <w:r w:rsidRPr="00E85FB5">
        <w:rPr>
          <w:rFonts w:cstheme="minorHAnsi"/>
          <w:position w:val="-58"/>
          <w:lang w:val="en-US"/>
        </w:rPr>
        <w:object w:dxaOrig="7200" w:dyaOrig="1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0.75pt;height:62.25pt" o:ole="">
            <v:imagedata r:id="rId4" o:title=""/>
          </v:shape>
          <o:OLEObject Type="Embed" ProgID="Equation.3" ShapeID="_x0000_i1025" DrawAspect="Content" ObjectID="_1364811506" r:id="rId5"/>
        </w:object>
      </w:r>
      <w:r w:rsidRPr="00E85FB5">
        <w:rPr>
          <w:rFonts w:cstheme="minorHAnsi"/>
          <w:lang w:val="en-US"/>
        </w:rPr>
        <w:tab/>
      </w:r>
      <w:r w:rsidRPr="00E85FB5">
        <w:rPr>
          <w:rFonts w:cstheme="minorHAnsi"/>
          <w:lang w:val="en-US"/>
        </w:rPr>
        <w:tab/>
        <w:t>(</w:t>
      </w:r>
      <w:r w:rsidR="00686EF2" w:rsidRPr="00E85FB5">
        <w:rPr>
          <w:rFonts w:cstheme="minorHAnsi"/>
          <w:lang w:val="en-US"/>
        </w:rPr>
        <w:t>1</w:t>
      </w:r>
      <w:r w:rsidRPr="00E85FB5">
        <w:rPr>
          <w:rFonts w:cstheme="minorHAnsi"/>
          <w:lang w:val="en-US"/>
        </w:rPr>
        <w:t>)</w:t>
      </w:r>
    </w:p>
    <w:p w:rsidR="001D67A3" w:rsidRPr="00E85FB5" w:rsidRDefault="001D67A3" w:rsidP="001D67A3">
      <w:pPr>
        <w:rPr>
          <w:rFonts w:cstheme="minorHAnsi"/>
          <w:lang w:val="en-US"/>
        </w:rPr>
      </w:pPr>
      <w:r w:rsidRPr="00E85FB5">
        <w:rPr>
          <w:rFonts w:cstheme="minorHAnsi"/>
          <w:position w:val="-58"/>
          <w:lang w:val="en-US"/>
        </w:rPr>
        <w:object w:dxaOrig="6960" w:dyaOrig="1280">
          <v:shape id="_x0000_i1026" type="#_x0000_t75" style="width:345pt;height:62.25pt" o:ole="">
            <v:imagedata r:id="rId6" o:title=""/>
          </v:shape>
          <o:OLEObject Type="Embed" ProgID="Equation.3" ShapeID="_x0000_i1026" DrawAspect="Content" ObjectID="_1364811507" r:id="rId7"/>
        </w:object>
      </w:r>
      <w:r w:rsidRPr="00E85FB5">
        <w:rPr>
          <w:rFonts w:cstheme="minorHAnsi"/>
          <w:lang w:val="en-US"/>
        </w:rPr>
        <w:tab/>
      </w:r>
      <w:r w:rsidRPr="00E85FB5">
        <w:rPr>
          <w:rFonts w:cstheme="minorHAnsi"/>
          <w:lang w:val="en-US"/>
        </w:rPr>
        <w:tab/>
      </w:r>
      <w:r w:rsidRPr="00E85FB5">
        <w:rPr>
          <w:rFonts w:cstheme="minorHAnsi"/>
          <w:lang w:val="en-US"/>
        </w:rPr>
        <w:tab/>
        <w:t>(</w:t>
      </w:r>
      <w:r w:rsidR="00686EF2" w:rsidRPr="00E85FB5">
        <w:rPr>
          <w:rFonts w:cstheme="minorHAnsi"/>
          <w:lang w:val="en-US"/>
        </w:rPr>
        <w:t>2</w:t>
      </w:r>
      <w:r w:rsidRPr="00E85FB5">
        <w:rPr>
          <w:rFonts w:cstheme="minorHAnsi"/>
          <w:lang w:val="en-US"/>
        </w:rPr>
        <w:t>)</w:t>
      </w:r>
    </w:p>
    <w:p w:rsidR="001D67A3" w:rsidRPr="00E85FB5" w:rsidRDefault="001D67A3" w:rsidP="001D67A3">
      <w:pPr>
        <w:rPr>
          <w:rFonts w:cstheme="minorHAnsi"/>
          <w:lang w:val="en-US"/>
        </w:rPr>
      </w:pPr>
      <w:r w:rsidRPr="00E85FB5">
        <w:rPr>
          <w:rFonts w:cstheme="minorHAnsi"/>
          <w:position w:val="-24"/>
          <w:lang w:val="en-US"/>
        </w:rPr>
        <w:object w:dxaOrig="1400" w:dyaOrig="620">
          <v:shape id="_x0000_i1027" type="#_x0000_t75" style="width:67.5pt;height:31.5pt" o:ole="">
            <v:imagedata r:id="rId8" o:title=""/>
          </v:shape>
          <o:OLEObject Type="Embed" ProgID="Equation.3" ShapeID="_x0000_i1027" DrawAspect="Content" ObjectID="_1364811508" r:id="rId9"/>
        </w:object>
      </w:r>
      <w:r w:rsidRPr="00E85FB5">
        <w:rPr>
          <w:rFonts w:cstheme="minorHAnsi"/>
          <w:lang w:val="en-US"/>
        </w:rPr>
        <w:tab/>
      </w:r>
      <w:r w:rsidRPr="00E85FB5">
        <w:rPr>
          <w:rFonts w:cstheme="minorHAnsi"/>
          <w:lang w:val="en-US"/>
        </w:rPr>
        <w:tab/>
      </w:r>
      <w:r w:rsidRPr="00E85FB5">
        <w:rPr>
          <w:rFonts w:cstheme="minorHAnsi"/>
          <w:lang w:val="en-US"/>
        </w:rPr>
        <w:tab/>
      </w:r>
      <w:r w:rsidRPr="00E85FB5">
        <w:rPr>
          <w:rFonts w:cstheme="minorHAnsi"/>
          <w:lang w:val="en-US"/>
        </w:rPr>
        <w:tab/>
      </w:r>
      <w:r w:rsidRPr="00E85FB5">
        <w:rPr>
          <w:rFonts w:cstheme="minorHAnsi"/>
          <w:lang w:val="en-US"/>
        </w:rPr>
        <w:tab/>
      </w:r>
      <w:r w:rsidRPr="00E85FB5">
        <w:rPr>
          <w:rFonts w:cstheme="minorHAnsi"/>
          <w:lang w:val="en-US"/>
        </w:rPr>
        <w:tab/>
      </w:r>
      <w:r w:rsidRPr="00E85FB5">
        <w:rPr>
          <w:rFonts w:cstheme="minorHAnsi"/>
          <w:lang w:val="en-US"/>
        </w:rPr>
        <w:tab/>
      </w:r>
      <w:r w:rsidRPr="00E85FB5">
        <w:rPr>
          <w:rFonts w:cstheme="minorHAnsi"/>
          <w:lang w:val="en-US"/>
        </w:rPr>
        <w:tab/>
      </w:r>
      <w:r w:rsidRPr="00E85FB5">
        <w:rPr>
          <w:rFonts w:cstheme="minorHAnsi"/>
          <w:lang w:val="en-US"/>
        </w:rPr>
        <w:tab/>
      </w:r>
      <w:r w:rsidRPr="00E85FB5">
        <w:rPr>
          <w:rFonts w:cstheme="minorHAnsi"/>
          <w:lang w:val="en-US"/>
        </w:rPr>
        <w:tab/>
      </w:r>
      <w:r w:rsidR="00686EF2" w:rsidRPr="00E85FB5">
        <w:rPr>
          <w:rFonts w:cstheme="minorHAnsi"/>
          <w:lang w:val="en-US"/>
        </w:rPr>
        <w:tab/>
      </w:r>
      <w:r w:rsidRPr="00E85FB5">
        <w:rPr>
          <w:rFonts w:cstheme="minorHAnsi"/>
          <w:lang w:val="en-US"/>
        </w:rPr>
        <w:t>(</w:t>
      </w:r>
      <w:r w:rsidR="00686EF2" w:rsidRPr="00E85FB5">
        <w:rPr>
          <w:rFonts w:cstheme="minorHAnsi"/>
          <w:lang w:val="en-US"/>
        </w:rPr>
        <w:t>3</w:t>
      </w:r>
      <w:r w:rsidRPr="00E85FB5">
        <w:rPr>
          <w:rFonts w:cstheme="minorHAnsi"/>
          <w:lang w:val="en-US"/>
        </w:rPr>
        <w:t>)</w:t>
      </w:r>
    </w:p>
    <w:p w:rsidR="001D67A3" w:rsidRPr="00E85FB5" w:rsidRDefault="001D67A3" w:rsidP="001D67A3">
      <w:pPr>
        <w:rPr>
          <w:rFonts w:cstheme="minorHAnsi"/>
          <w:lang w:val="en-US"/>
        </w:rPr>
      </w:pPr>
      <w:r w:rsidRPr="00E85FB5">
        <w:rPr>
          <w:rFonts w:cstheme="minorHAnsi"/>
          <w:position w:val="-24"/>
          <w:lang w:val="en-US"/>
        </w:rPr>
        <w:object w:dxaOrig="1660" w:dyaOrig="660">
          <v:shape id="_x0000_i1028" type="#_x0000_t75" style="width:84pt;height:33pt" o:ole="">
            <v:imagedata r:id="rId10" o:title=""/>
          </v:shape>
          <o:OLEObject Type="Embed" ProgID="Equation.3" ShapeID="_x0000_i1028" DrawAspect="Content" ObjectID="_1364811509" r:id="rId11"/>
        </w:object>
      </w:r>
      <w:r w:rsidRPr="00E85FB5">
        <w:rPr>
          <w:rFonts w:cstheme="minorHAnsi"/>
          <w:lang w:val="en-US"/>
        </w:rPr>
        <w:tab/>
      </w:r>
      <w:r w:rsidRPr="00E85FB5">
        <w:rPr>
          <w:rFonts w:cstheme="minorHAnsi"/>
          <w:lang w:val="en-US"/>
        </w:rPr>
        <w:tab/>
      </w:r>
      <w:r w:rsidRPr="00E85FB5">
        <w:rPr>
          <w:rFonts w:cstheme="minorHAnsi"/>
          <w:lang w:val="en-US"/>
        </w:rPr>
        <w:tab/>
      </w:r>
      <w:r w:rsidRPr="00E85FB5">
        <w:rPr>
          <w:rFonts w:cstheme="minorHAnsi"/>
          <w:lang w:val="en-US"/>
        </w:rPr>
        <w:tab/>
      </w:r>
      <w:r w:rsidRPr="00E85FB5">
        <w:rPr>
          <w:rFonts w:cstheme="minorHAnsi"/>
          <w:lang w:val="en-US"/>
        </w:rPr>
        <w:tab/>
      </w:r>
      <w:r w:rsidRPr="00E85FB5">
        <w:rPr>
          <w:rFonts w:cstheme="minorHAnsi"/>
          <w:lang w:val="en-US"/>
        </w:rPr>
        <w:tab/>
      </w:r>
      <w:r w:rsidRPr="00E85FB5">
        <w:rPr>
          <w:rFonts w:cstheme="minorHAnsi"/>
          <w:lang w:val="en-US"/>
        </w:rPr>
        <w:tab/>
      </w:r>
      <w:r w:rsidRPr="00E85FB5">
        <w:rPr>
          <w:rFonts w:cstheme="minorHAnsi"/>
          <w:lang w:val="en-US"/>
        </w:rPr>
        <w:tab/>
      </w:r>
      <w:r w:rsidRPr="00E85FB5">
        <w:rPr>
          <w:rFonts w:cstheme="minorHAnsi"/>
          <w:lang w:val="en-US"/>
        </w:rPr>
        <w:tab/>
      </w:r>
      <w:r w:rsidRPr="00E85FB5">
        <w:rPr>
          <w:rFonts w:cstheme="minorHAnsi"/>
          <w:lang w:val="en-US"/>
        </w:rPr>
        <w:tab/>
        <w:t>(</w:t>
      </w:r>
      <w:r w:rsidR="00686EF2" w:rsidRPr="00E85FB5">
        <w:rPr>
          <w:rFonts w:cstheme="minorHAnsi"/>
          <w:lang w:val="en-US"/>
        </w:rPr>
        <w:t>4</w:t>
      </w:r>
      <w:r w:rsidRPr="00E85FB5">
        <w:rPr>
          <w:rFonts w:cstheme="minorHAnsi"/>
          <w:lang w:val="en-US"/>
        </w:rPr>
        <w:t>)</w:t>
      </w:r>
    </w:p>
    <w:p w:rsidR="001D67A3" w:rsidRPr="00E85FB5" w:rsidRDefault="001D67A3" w:rsidP="001D67A3">
      <w:pPr>
        <w:rPr>
          <w:rFonts w:cstheme="minorHAnsi"/>
          <w:lang w:val="en-US"/>
        </w:rPr>
      </w:pPr>
      <w:r w:rsidRPr="00E85FB5">
        <w:rPr>
          <w:rFonts w:cstheme="minorHAnsi"/>
          <w:position w:val="-24"/>
          <w:lang w:val="en-US"/>
        </w:rPr>
        <w:object w:dxaOrig="1840" w:dyaOrig="660">
          <v:shape id="_x0000_i1029" type="#_x0000_t75" style="width:91.5pt;height:33pt" o:ole="">
            <v:imagedata r:id="rId12" o:title=""/>
          </v:shape>
          <o:OLEObject Type="Embed" ProgID="Equation.3" ShapeID="_x0000_i1029" DrawAspect="Content" ObjectID="_1364811510" r:id="rId13"/>
        </w:object>
      </w:r>
      <w:r w:rsidRPr="00E85FB5">
        <w:rPr>
          <w:rFonts w:cstheme="minorHAnsi"/>
          <w:lang w:val="en-US"/>
        </w:rPr>
        <w:tab/>
      </w:r>
      <w:r w:rsidRPr="00E85FB5">
        <w:rPr>
          <w:rFonts w:cstheme="minorHAnsi"/>
          <w:lang w:val="en-US"/>
        </w:rPr>
        <w:tab/>
      </w:r>
      <w:r w:rsidRPr="00E85FB5">
        <w:rPr>
          <w:rFonts w:cstheme="minorHAnsi"/>
          <w:lang w:val="en-US"/>
        </w:rPr>
        <w:tab/>
      </w:r>
      <w:r w:rsidRPr="00E85FB5">
        <w:rPr>
          <w:rFonts w:cstheme="minorHAnsi"/>
          <w:lang w:val="en-US"/>
        </w:rPr>
        <w:tab/>
      </w:r>
      <w:r w:rsidRPr="00E85FB5">
        <w:rPr>
          <w:rFonts w:cstheme="minorHAnsi"/>
          <w:lang w:val="en-US"/>
        </w:rPr>
        <w:tab/>
      </w:r>
      <w:r w:rsidRPr="00E85FB5">
        <w:rPr>
          <w:rFonts w:cstheme="minorHAnsi"/>
          <w:lang w:val="en-US"/>
        </w:rPr>
        <w:tab/>
      </w:r>
      <w:r w:rsidRPr="00E85FB5">
        <w:rPr>
          <w:rFonts w:cstheme="minorHAnsi"/>
          <w:lang w:val="en-US"/>
        </w:rPr>
        <w:tab/>
      </w:r>
      <w:r w:rsidRPr="00E85FB5">
        <w:rPr>
          <w:rFonts w:cstheme="minorHAnsi"/>
          <w:lang w:val="en-US"/>
        </w:rPr>
        <w:tab/>
      </w:r>
      <w:r w:rsidRPr="00E85FB5">
        <w:rPr>
          <w:rFonts w:cstheme="minorHAnsi"/>
          <w:lang w:val="en-US"/>
        </w:rPr>
        <w:tab/>
      </w:r>
      <w:r w:rsidRPr="00E85FB5">
        <w:rPr>
          <w:rFonts w:cstheme="minorHAnsi"/>
          <w:lang w:val="en-US"/>
        </w:rPr>
        <w:tab/>
        <w:t>(</w:t>
      </w:r>
      <w:r w:rsidR="00686EF2" w:rsidRPr="00E85FB5">
        <w:rPr>
          <w:rFonts w:cstheme="minorHAnsi"/>
          <w:lang w:val="en-US"/>
        </w:rPr>
        <w:t>5</w:t>
      </w:r>
      <w:r w:rsidRPr="00E85FB5">
        <w:rPr>
          <w:rFonts w:cstheme="minorHAnsi"/>
          <w:lang w:val="en-US"/>
        </w:rPr>
        <w:t>)</w:t>
      </w:r>
    </w:p>
    <w:p w:rsidR="001D67A3" w:rsidRPr="00E85FB5" w:rsidRDefault="001D67A3" w:rsidP="001D67A3">
      <w:pPr>
        <w:rPr>
          <w:rFonts w:cstheme="minorHAnsi"/>
          <w:lang w:val="en-US"/>
        </w:rPr>
      </w:pPr>
      <w:r w:rsidRPr="00E85FB5">
        <w:rPr>
          <w:rFonts w:cstheme="minorHAnsi"/>
          <w:position w:val="-24"/>
          <w:lang w:val="en-US"/>
        </w:rPr>
        <w:object w:dxaOrig="1740" w:dyaOrig="660">
          <v:shape id="_x0000_i1030" type="#_x0000_t75" style="width:87pt;height:33pt" o:ole="">
            <v:imagedata r:id="rId14" o:title=""/>
          </v:shape>
          <o:OLEObject Type="Embed" ProgID="Equation.3" ShapeID="_x0000_i1030" DrawAspect="Content" ObjectID="_1364811511" r:id="rId15"/>
        </w:object>
      </w:r>
      <w:r w:rsidRPr="00E85FB5">
        <w:rPr>
          <w:rFonts w:cstheme="minorHAnsi"/>
          <w:lang w:val="en-US"/>
        </w:rPr>
        <w:tab/>
      </w:r>
      <w:r w:rsidRPr="00E85FB5">
        <w:rPr>
          <w:rFonts w:cstheme="minorHAnsi"/>
          <w:lang w:val="en-US"/>
        </w:rPr>
        <w:tab/>
      </w:r>
      <w:r w:rsidRPr="00E85FB5">
        <w:rPr>
          <w:rFonts w:cstheme="minorHAnsi"/>
          <w:lang w:val="en-US"/>
        </w:rPr>
        <w:tab/>
      </w:r>
      <w:r w:rsidRPr="00E85FB5">
        <w:rPr>
          <w:rFonts w:cstheme="minorHAnsi"/>
          <w:lang w:val="en-US"/>
        </w:rPr>
        <w:tab/>
      </w:r>
      <w:r w:rsidRPr="00E85FB5">
        <w:rPr>
          <w:rFonts w:cstheme="minorHAnsi"/>
          <w:lang w:val="en-US"/>
        </w:rPr>
        <w:tab/>
      </w:r>
      <w:r w:rsidRPr="00E85FB5">
        <w:rPr>
          <w:rFonts w:cstheme="minorHAnsi"/>
          <w:lang w:val="en-US"/>
        </w:rPr>
        <w:tab/>
      </w:r>
      <w:r w:rsidRPr="00E85FB5">
        <w:rPr>
          <w:rFonts w:cstheme="minorHAnsi"/>
          <w:lang w:val="en-US"/>
        </w:rPr>
        <w:tab/>
      </w:r>
      <w:r w:rsidRPr="00E85FB5">
        <w:rPr>
          <w:rFonts w:cstheme="minorHAnsi"/>
          <w:lang w:val="en-US"/>
        </w:rPr>
        <w:tab/>
      </w:r>
      <w:r w:rsidRPr="00E85FB5">
        <w:rPr>
          <w:rFonts w:cstheme="minorHAnsi"/>
          <w:lang w:val="en-US"/>
        </w:rPr>
        <w:tab/>
      </w:r>
      <w:r w:rsidRPr="00E85FB5">
        <w:rPr>
          <w:rFonts w:cstheme="minorHAnsi"/>
          <w:lang w:val="en-US"/>
        </w:rPr>
        <w:tab/>
        <w:t>(</w:t>
      </w:r>
      <w:r w:rsidR="00686EF2" w:rsidRPr="00E85FB5">
        <w:rPr>
          <w:rFonts w:cstheme="minorHAnsi"/>
          <w:lang w:val="en-US"/>
        </w:rPr>
        <w:t>6</w:t>
      </w:r>
      <w:r w:rsidRPr="00E85FB5">
        <w:rPr>
          <w:rFonts w:cstheme="minorHAnsi"/>
          <w:lang w:val="en-US"/>
        </w:rPr>
        <w:t>)</w:t>
      </w:r>
    </w:p>
    <w:p w:rsidR="001D67A3" w:rsidRPr="00E85FB5" w:rsidRDefault="001D67A3" w:rsidP="001D67A3">
      <w:pPr>
        <w:rPr>
          <w:rFonts w:cstheme="minorHAnsi"/>
          <w:lang w:val="en-US"/>
        </w:rPr>
      </w:pPr>
      <w:r w:rsidRPr="00E85FB5">
        <w:rPr>
          <w:rFonts w:cstheme="minorHAnsi"/>
          <w:position w:val="-24"/>
          <w:lang w:val="en-US"/>
        </w:rPr>
        <w:object w:dxaOrig="2780" w:dyaOrig="660">
          <v:shape id="_x0000_i1031" type="#_x0000_t75" style="width:139.5pt;height:33pt" o:ole="">
            <v:imagedata r:id="rId16" o:title=""/>
          </v:shape>
          <o:OLEObject Type="Embed" ProgID="Equation.3" ShapeID="_x0000_i1031" DrawAspect="Content" ObjectID="_1364811512" r:id="rId17"/>
        </w:object>
      </w:r>
      <w:r w:rsidRPr="00E85FB5">
        <w:rPr>
          <w:rFonts w:cstheme="minorHAnsi"/>
          <w:lang w:val="en-US"/>
        </w:rPr>
        <w:tab/>
      </w:r>
      <w:r w:rsidRPr="00E85FB5">
        <w:rPr>
          <w:rFonts w:cstheme="minorHAnsi"/>
          <w:lang w:val="en-US"/>
        </w:rPr>
        <w:tab/>
      </w:r>
      <w:r w:rsidRPr="00E85FB5">
        <w:rPr>
          <w:rFonts w:cstheme="minorHAnsi"/>
          <w:lang w:val="en-US"/>
        </w:rPr>
        <w:tab/>
      </w:r>
      <w:r w:rsidRPr="00E85FB5">
        <w:rPr>
          <w:rFonts w:cstheme="minorHAnsi"/>
          <w:lang w:val="en-US"/>
        </w:rPr>
        <w:tab/>
      </w:r>
      <w:r w:rsidRPr="00E85FB5">
        <w:rPr>
          <w:rFonts w:cstheme="minorHAnsi"/>
          <w:lang w:val="en-US"/>
        </w:rPr>
        <w:tab/>
      </w:r>
      <w:r w:rsidRPr="00E85FB5">
        <w:rPr>
          <w:rFonts w:cstheme="minorHAnsi"/>
          <w:lang w:val="en-US"/>
        </w:rPr>
        <w:tab/>
      </w:r>
      <w:r w:rsidRPr="00E85FB5">
        <w:rPr>
          <w:rFonts w:cstheme="minorHAnsi"/>
          <w:lang w:val="en-US"/>
        </w:rPr>
        <w:tab/>
      </w:r>
      <w:r w:rsidRPr="00E85FB5">
        <w:rPr>
          <w:rFonts w:cstheme="minorHAnsi"/>
          <w:lang w:val="en-US"/>
        </w:rPr>
        <w:tab/>
      </w:r>
      <w:r w:rsidRPr="00E85FB5">
        <w:rPr>
          <w:rFonts w:cstheme="minorHAnsi"/>
          <w:lang w:val="en-US"/>
        </w:rPr>
        <w:tab/>
        <w:t>(</w:t>
      </w:r>
      <w:r w:rsidR="00686EF2" w:rsidRPr="00E85FB5">
        <w:rPr>
          <w:rFonts w:cstheme="minorHAnsi"/>
          <w:lang w:val="en-US"/>
        </w:rPr>
        <w:t>7</w:t>
      </w:r>
      <w:r w:rsidRPr="00E85FB5">
        <w:rPr>
          <w:rFonts w:cstheme="minorHAnsi"/>
          <w:lang w:val="en-US"/>
        </w:rPr>
        <w:t>)</w:t>
      </w:r>
    </w:p>
    <w:p w:rsidR="001D67A3" w:rsidRPr="00E85FB5" w:rsidRDefault="001D67A3" w:rsidP="001D67A3">
      <w:pPr>
        <w:rPr>
          <w:rFonts w:cstheme="minorHAnsi"/>
          <w:lang w:val="en-US"/>
        </w:rPr>
      </w:pPr>
      <w:r w:rsidRPr="00E85FB5">
        <w:rPr>
          <w:rFonts w:cstheme="minorHAnsi"/>
          <w:position w:val="-24"/>
          <w:lang w:val="en-US"/>
        </w:rPr>
        <w:object w:dxaOrig="4720" w:dyaOrig="660">
          <v:shape id="_x0000_i1032" type="#_x0000_t75" style="width:236.25pt;height:33pt" o:ole="">
            <v:imagedata r:id="rId18" o:title=""/>
          </v:shape>
          <o:OLEObject Type="Embed" ProgID="Equation.3" ShapeID="_x0000_i1032" DrawAspect="Content" ObjectID="_1364811513" r:id="rId19"/>
        </w:object>
      </w:r>
      <w:r w:rsidRPr="00E85FB5">
        <w:rPr>
          <w:rFonts w:cstheme="minorHAnsi"/>
          <w:lang w:val="en-US"/>
        </w:rPr>
        <w:tab/>
      </w:r>
      <w:r w:rsidRPr="00E85FB5">
        <w:rPr>
          <w:rFonts w:cstheme="minorHAnsi"/>
          <w:lang w:val="en-US"/>
        </w:rPr>
        <w:tab/>
      </w:r>
      <w:r w:rsidRPr="00E85FB5">
        <w:rPr>
          <w:rFonts w:cstheme="minorHAnsi"/>
          <w:lang w:val="en-US"/>
        </w:rPr>
        <w:tab/>
      </w:r>
      <w:r w:rsidRPr="00E85FB5">
        <w:rPr>
          <w:rFonts w:cstheme="minorHAnsi"/>
          <w:lang w:val="en-US"/>
        </w:rPr>
        <w:tab/>
      </w:r>
      <w:r w:rsidRPr="00E85FB5">
        <w:rPr>
          <w:rFonts w:cstheme="minorHAnsi"/>
          <w:lang w:val="en-US"/>
        </w:rPr>
        <w:tab/>
      </w:r>
      <w:r w:rsidRPr="00E85FB5">
        <w:rPr>
          <w:rFonts w:cstheme="minorHAnsi"/>
          <w:lang w:val="en-US"/>
        </w:rPr>
        <w:tab/>
        <w:t>(</w:t>
      </w:r>
      <w:r w:rsidR="00686EF2" w:rsidRPr="00E85FB5">
        <w:rPr>
          <w:rFonts w:cstheme="minorHAnsi"/>
          <w:lang w:val="en-US"/>
        </w:rPr>
        <w:t>8</w:t>
      </w:r>
      <w:r w:rsidRPr="00E85FB5">
        <w:rPr>
          <w:rFonts w:cstheme="minorHAnsi"/>
          <w:lang w:val="en-US"/>
        </w:rPr>
        <w:t>)</w:t>
      </w:r>
    </w:p>
    <w:p w:rsidR="001D67A3" w:rsidRPr="00E85FB5" w:rsidRDefault="001D67A3" w:rsidP="001D67A3">
      <w:pPr>
        <w:rPr>
          <w:rFonts w:cstheme="minorHAnsi"/>
          <w:lang w:val="en-US"/>
        </w:rPr>
      </w:pPr>
      <w:r w:rsidRPr="00E85FB5">
        <w:rPr>
          <w:rFonts w:cstheme="minorHAnsi"/>
          <w:position w:val="-24"/>
          <w:lang w:val="en-US"/>
        </w:rPr>
        <w:object w:dxaOrig="1660" w:dyaOrig="660">
          <v:shape id="_x0000_i1033" type="#_x0000_t75" style="width:84pt;height:33pt" o:ole="">
            <v:imagedata r:id="rId20" o:title=""/>
          </v:shape>
          <o:OLEObject Type="Embed" ProgID="Equation.3" ShapeID="_x0000_i1033" DrawAspect="Content" ObjectID="_1364811514" r:id="rId21"/>
        </w:object>
      </w:r>
      <w:r w:rsidR="00686EF2" w:rsidRPr="00E85FB5">
        <w:rPr>
          <w:rFonts w:cstheme="minorHAnsi"/>
          <w:lang w:val="en-US"/>
        </w:rPr>
        <w:tab/>
      </w:r>
      <w:r w:rsidR="00686EF2" w:rsidRPr="00E85FB5">
        <w:rPr>
          <w:rFonts w:cstheme="minorHAnsi"/>
          <w:lang w:val="en-US"/>
        </w:rPr>
        <w:tab/>
      </w:r>
      <w:r w:rsidR="00686EF2" w:rsidRPr="00E85FB5">
        <w:rPr>
          <w:rFonts w:cstheme="minorHAnsi"/>
          <w:lang w:val="en-US"/>
        </w:rPr>
        <w:tab/>
      </w:r>
      <w:r w:rsidR="00686EF2" w:rsidRPr="00E85FB5">
        <w:rPr>
          <w:rFonts w:cstheme="minorHAnsi"/>
          <w:lang w:val="en-US"/>
        </w:rPr>
        <w:tab/>
      </w:r>
      <w:r w:rsidR="00686EF2" w:rsidRPr="00E85FB5">
        <w:rPr>
          <w:rFonts w:cstheme="minorHAnsi"/>
          <w:lang w:val="en-US"/>
        </w:rPr>
        <w:tab/>
      </w:r>
      <w:r w:rsidR="00686EF2" w:rsidRPr="00E85FB5">
        <w:rPr>
          <w:rFonts w:cstheme="minorHAnsi"/>
          <w:lang w:val="en-US"/>
        </w:rPr>
        <w:tab/>
      </w:r>
      <w:r w:rsidR="00686EF2" w:rsidRPr="00E85FB5">
        <w:rPr>
          <w:rFonts w:cstheme="minorHAnsi"/>
          <w:lang w:val="en-US"/>
        </w:rPr>
        <w:tab/>
      </w:r>
      <w:r w:rsidR="00686EF2" w:rsidRPr="00E85FB5">
        <w:rPr>
          <w:rFonts w:cstheme="minorHAnsi"/>
          <w:lang w:val="en-US"/>
        </w:rPr>
        <w:tab/>
      </w:r>
      <w:r w:rsidR="00686EF2" w:rsidRPr="00E85FB5">
        <w:rPr>
          <w:rFonts w:cstheme="minorHAnsi"/>
          <w:lang w:val="en-US"/>
        </w:rPr>
        <w:tab/>
      </w:r>
      <w:r w:rsidR="00686EF2" w:rsidRPr="00E85FB5">
        <w:rPr>
          <w:rFonts w:cstheme="minorHAnsi"/>
          <w:lang w:val="en-US"/>
        </w:rPr>
        <w:tab/>
        <w:t>(9</w:t>
      </w:r>
      <w:r w:rsidRPr="00E85FB5">
        <w:rPr>
          <w:rFonts w:cstheme="minorHAnsi"/>
          <w:lang w:val="en-US"/>
        </w:rPr>
        <w:t>)</w:t>
      </w:r>
    </w:p>
    <w:p w:rsidR="001D67A3" w:rsidRPr="00E85FB5" w:rsidRDefault="001D67A3" w:rsidP="00013C4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cstheme="minorHAnsi"/>
          <w:lang w:val="en-US"/>
        </w:rPr>
      </w:pPr>
      <w:r w:rsidRPr="00E85FB5">
        <w:rPr>
          <w:rFonts w:cstheme="minorHAnsi"/>
          <w:position w:val="-24"/>
          <w:lang w:val="en-US"/>
        </w:rPr>
        <w:object w:dxaOrig="5000" w:dyaOrig="620">
          <v:shape id="_x0000_i1034" type="#_x0000_t75" style="width:248.25pt;height:31.5pt" o:ole="">
            <v:imagedata r:id="rId22" o:title=""/>
          </v:shape>
          <o:OLEObject Type="Embed" ProgID="Equation.3" ShapeID="_x0000_i1034" DrawAspect="Content" ObjectID="_1364811515" r:id="rId23"/>
        </w:object>
      </w:r>
      <w:r w:rsidRPr="00E85FB5">
        <w:rPr>
          <w:rFonts w:cstheme="minorHAnsi"/>
          <w:lang w:val="en-US"/>
        </w:rPr>
        <w:tab/>
      </w:r>
      <w:r w:rsidRPr="00E85FB5">
        <w:rPr>
          <w:rFonts w:cstheme="minorHAnsi"/>
          <w:lang w:val="en-US"/>
        </w:rPr>
        <w:tab/>
      </w:r>
      <w:r w:rsidRPr="00E85FB5">
        <w:rPr>
          <w:rFonts w:cstheme="minorHAnsi"/>
          <w:lang w:val="en-US"/>
        </w:rPr>
        <w:tab/>
      </w:r>
      <w:r w:rsidRPr="00E85FB5">
        <w:rPr>
          <w:rFonts w:cstheme="minorHAnsi"/>
          <w:lang w:val="en-US"/>
        </w:rPr>
        <w:tab/>
      </w:r>
      <w:r w:rsidRPr="00E85FB5">
        <w:rPr>
          <w:rFonts w:cstheme="minorHAnsi"/>
          <w:lang w:val="en-US"/>
        </w:rPr>
        <w:tab/>
      </w:r>
      <w:r w:rsidR="00013C47" w:rsidRPr="00E85FB5">
        <w:rPr>
          <w:rFonts w:cstheme="minorHAnsi"/>
          <w:lang w:val="en-US"/>
        </w:rPr>
        <w:tab/>
        <w:t xml:space="preserve"> (10)</w:t>
      </w:r>
    </w:p>
    <w:p w:rsidR="001D67A3" w:rsidRPr="00E85FB5" w:rsidRDefault="001D67A3" w:rsidP="00013C47">
      <w:pPr>
        <w:tabs>
          <w:tab w:val="left" w:pos="720"/>
          <w:tab w:val="left" w:pos="1440"/>
          <w:tab w:val="left" w:pos="2160"/>
          <w:tab w:val="left" w:pos="2880"/>
          <w:tab w:val="left" w:pos="3600"/>
          <w:tab w:val="left" w:pos="4320"/>
          <w:tab w:val="left" w:pos="5040"/>
          <w:tab w:val="left" w:pos="5760"/>
          <w:tab w:val="left" w:pos="6480"/>
          <w:tab w:val="left" w:pos="7200"/>
          <w:tab w:val="right" w:pos="9026"/>
        </w:tabs>
        <w:rPr>
          <w:rFonts w:cstheme="minorHAnsi"/>
          <w:lang w:val="en-US"/>
        </w:rPr>
      </w:pPr>
      <w:r w:rsidRPr="00E85FB5">
        <w:rPr>
          <w:rFonts w:cstheme="minorHAnsi"/>
          <w:position w:val="-24"/>
          <w:lang w:val="en-US"/>
        </w:rPr>
        <w:object w:dxaOrig="4040" w:dyaOrig="620">
          <v:shape id="_x0000_i1035" type="#_x0000_t75" style="width:201.75pt;height:31.5pt" o:ole="">
            <v:imagedata r:id="rId24" o:title=""/>
          </v:shape>
          <o:OLEObject Type="Embed" ProgID="Equation.3" ShapeID="_x0000_i1035" DrawAspect="Content" ObjectID="_1364811516" r:id="rId25"/>
        </w:object>
      </w:r>
      <w:r w:rsidR="00013C47" w:rsidRPr="00E85FB5">
        <w:rPr>
          <w:rFonts w:cstheme="minorHAnsi"/>
          <w:lang w:val="en-US"/>
        </w:rPr>
        <w:tab/>
      </w:r>
      <w:r w:rsidR="00013C47" w:rsidRPr="00E85FB5">
        <w:rPr>
          <w:rFonts w:cstheme="minorHAnsi"/>
          <w:lang w:val="en-US"/>
        </w:rPr>
        <w:tab/>
      </w:r>
      <w:r w:rsidR="00013C47" w:rsidRPr="00E85FB5">
        <w:rPr>
          <w:rFonts w:cstheme="minorHAnsi"/>
          <w:lang w:val="en-US"/>
        </w:rPr>
        <w:tab/>
      </w:r>
      <w:r w:rsidR="00013C47" w:rsidRPr="00E85FB5">
        <w:rPr>
          <w:rFonts w:cstheme="minorHAnsi"/>
          <w:lang w:val="en-US"/>
        </w:rPr>
        <w:tab/>
      </w:r>
      <w:r w:rsidR="00013C47" w:rsidRPr="00E85FB5">
        <w:rPr>
          <w:rFonts w:cstheme="minorHAnsi"/>
          <w:lang w:val="en-US"/>
        </w:rPr>
        <w:tab/>
      </w:r>
      <w:r w:rsidR="00013C47" w:rsidRPr="00E85FB5">
        <w:rPr>
          <w:rFonts w:cstheme="minorHAnsi"/>
          <w:lang w:val="en-US"/>
        </w:rPr>
        <w:tab/>
        <w:t>(11)</w:t>
      </w:r>
    </w:p>
    <w:p w:rsidR="001D67A3" w:rsidRPr="00E85FB5" w:rsidRDefault="001D67A3" w:rsidP="00013C4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cstheme="minorHAnsi"/>
          <w:lang w:val="en-US"/>
        </w:rPr>
      </w:pPr>
      <w:r w:rsidRPr="00E85FB5">
        <w:rPr>
          <w:rFonts w:cstheme="minorHAnsi"/>
          <w:position w:val="-24"/>
          <w:lang w:val="en-US"/>
        </w:rPr>
        <w:object w:dxaOrig="4060" w:dyaOrig="660">
          <v:shape id="_x0000_i1036" type="#_x0000_t75" style="width:201.75pt;height:33pt" o:ole="">
            <v:imagedata r:id="rId26" o:title=""/>
          </v:shape>
          <o:OLEObject Type="Embed" ProgID="Equation.3" ShapeID="_x0000_i1036" DrawAspect="Content" ObjectID="_1364811517" r:id="rId27"/>
        </w:object>
      </w:r>
      <w:r w:rsidR="00013C47" w:rsidRPr="00E85FB5">
        <w:rPr>
          <w:rFonts w:cstheme="minorHAnsi"/>
          <w:lang w:val="en-US"/>
        </w:rPr>
        <w:tab/>
      </w:r>
      <w:r w:rsidR="00013C47" w:rsidRPr="00E85FB5">
        <w:rPr>
          <w:rFonts w:cstheme="minorHAnsi"/>
          <w:lang w:val="en-US"/>
        </w:rPr>
        <w:tab/>
      </w:r>
      <w:r w:rsidR="00013C47" w:rsidRPr="00E85FB5">
        <w:rPr>
          <w:rFonts w:cstheme="minorHAnsi"/>
          <w:lang w:val="en-US"/>
        </w:rPr>
        <w:tab/>
      </w:r>
      <w:r w:rsidR="00013C47" w:rsidRPr="00E85FB5">
        <w:rPr>
          <w:rFonts w:cstheme="minorHAnsi"/>
          <w:lang w:val="en-US"/>
        </w:rPr>
        <w:tab/>
      </w:r>
      <w:r w:rsidR="00013C47" w:rsidRPr="00E85FB5">
        <w:rPr>
          <w:rFonts w:cstheme="minorHAnsi"/>
          <w:lang w:val="en-US"/>
        </w:rPr>
        <w:tab/>
      </w:r>
      <w:r w:rsidR="00013C47" w:rsidRPr="00E85FB5">
        <w:rPr>
          <w:rFonts w:cstheme="minorHAnsi"/>
          <w:lang w:val="en-US"/>
        </w:rPr>
        <w:tab/>
      </w:r>
      <w:r w:rsidR="00013C47" w:rsidRPr="00E85FB5">
        <w:rPr>
          <w:rFonts w:cstheme="minorHAnsi"/>
          <w:lang w:val="en-US"/>
        </w:rPr>
        <w:tab/>
        <w:t>(12)</w:t>
      </w:r>
    </w:p>
    <w:p w:rsidR="001D67A3" w:rsidRPr="00E85FB5" w:rsidRDefault="001D67A3" w:rsidP="00013C4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cstheme="minorHAnsi"/>
          <w:lang w:val="en-US"/>
        </w:rPr>
      </w:pPr>
      <w:r w:rsidRPr="00E85FB5">
        <w:rPr>
          <w:rFonts w:cstheme="minorHAnsi"/>
          <w:position w:val="-24"/>
          <w:lang w:val="en-US"/>
        </w:rPr>
        <w:object w:dxaOrig="4440" w:dyaOrig="660">
          <v:shape id="_x0000_i1037" type="#_x0000_t75" style="width:221.25pt;height:33pt" o:ole="">
            <v:imagedata r:id="rId28" o:title=""/>
          </v:shape>
          <o:OLEObject Type="Embed" ProgID="Equation.3" ShapeID="_x0000_i1037" DrawAspect="Content" ObjectID="_1364811518" r:id="rId29"/>
        </w:object>
      </w:r>
      <w:r w:rsidRPr="00E85FB5">
        <w:rPr>
          <w:rFonts w:cstheme="minorHAnsi"/>
          <w:lang w:val="en-US"/>
        </w:rPr>
        <w:tab/>
      </w:r>
      <w:r w:rsidRPr="00E85FB5">
        <w:rPr>
          <w:rFonts w:cstheme="minorHAnsi"/>
          <w:lang w:val="en-US"/>
        </w:rPr>
        <w:tab/>
      </w:r>
      <w:r w:rsidRPr="00E85FB5">
        <w:rPr>
          <w:rFonts w:cstheme="minorHAnsi"/>
          <w:lang w:val="en-US"/>
        </w:rPr>
        <w:tab/>
      </w:r>
      <w:r w:rsidR="00013C47" w:rsidRPr="00E85FB5">
        <w:rPr>
          <w:rFonts w:cstheme="minorHAnsi"/>
          <w:lang w:val="en-US"/>
        </w:rPr>
        <w:tab/>
      </w:r>
      <w:r w:rsidR="00013C47" w:rsidRPr="00E85FB5">
        <w:rPr>
          <w:rFonts w:cstheme="minorHAnsi"/>
          <w:lang w:val="en-US"/>
        </w:rPr>
        <w:tab/>
      </w:r>
      <w:r w:rsidR="00013C47" w:rsidRPr="00E85FB5">
        <w:rPr>
          <w:rFonts w:cstheme="minorHAnsi"/>
          <w:lang w:val="en-US"/>
        </w:rPr>
        <w:tab/>
        <w:t>(13)</w:t>
      </w:r>
    </w:p>
    <w:bookmarkStart w:id="0" w:name="OLE_LINK2"/>
    <w:p w:rsidR="001D67A3" w:rsidRPr="00E85FB5" w:rsidRDefault="001D67A3" w:rsidP="00013C4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cstheme="minorHAnsi"/>
          <w:lang w:val="en-US"/>
        </w:rPr>
      </w:pPr>
      <w:r w:rsidRPr="00E85FB5">
        <w:rPr>
          <w:rFonts w:cstheme="minorHAnsi"/>
          <w:position w:val="-24"/>
          <w:lang w:val="en-US"/>
        </w:rPr>
        <w:object w:dxaOrig="4400" w:dyaOrig="620">
          <v:shape id="_x0000_i1038" type="#_x0000_t75" style="width:217.5pt;height:31.5pt" o:ole="">
            <v:imagedata r:id="rId30" o:title=""/>
          </v:shape>
          <o:OLEObject Type="Embed" ProgID="Equation.3" ShapeID="_x0000_i1038" DrawAspect="Content" ObjectID="_1364811519" r:id="rId31"/>
        </w:object>
      </w:r>
      <w:bookmarkEnd w:id="0"/>
      <w:r w:rsidR="00013C47" w:rsidRPr="00E85FB5">
        <w:rPr>
          <w:rFonts w:cstheme="minorHAnsi"/>
          <w:lang w:val="en-US"/>
        </w:rPr>
        <w:tab/>
      </w:r>
      <w:r w:rsidR="00013C47" w:rsidRPr="00E85FB5">
        <w:rPr>
          <w:rFonts w:cstheme="minorHAnsi"/>
          <w:lang w:val="en-US"/>
        </w:rPr>
        <w:tab/>
      </w:r>
      <w:r w:rsidR="00013C47" w:rsidRPr="00E85FB5">
        <w:rPr>
          <w:rFonts w:cstheme="minorHAnsi"/>
          <w:lang w:val="en-US"/>
        </w:rPr>
        <w:tab/>
      </w:r>
      <w:r w:rsidR="00013C47" w:rsidRPr="00E85FB5">
        <w:rPr>
          <w:rFonts w:cstheme="minorHAnsi"/>
          <w:lang w:val="en-US"/>
        </w:rPr>
        <w:tab/>
      </w:r>
      <w:r w:rsidR="00013C47" w:rsidRPr="00E85FB5">
        <w:rPr>
          <w:rFonts w:cstheme="minorHAnsi"/>
          <w:lang w:val="en-US"/>
        </w:rPr>
        <w:tab/>
      </w:r>
      <w:r w:rsidR="00013C47" w:rsidRPr="00E85FB5">
        <w:rPr>
          <w:rFonts w:cstheme="minorHAnsi"/>
          <w:lang w:val="en-US"/>
        </w:rPr>
        <w:tab/>
        <w:t>(14)</w:t>
      </w:r>
    </w:p>
    <w:p w:rsidR="001D67A3" w:rsidRPr="00E85FB5" w:rsidRDefault="001D67A3" w:rsidP="00013C4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rPr>
          <w:rFonts w:cstheme="minorHAnsi"/>
          <w:lang w:val="en-US"/>
        </w:rPr>
      </w:pPr>
      <w:r w:rsidRPr="00E85FB5">
        <w:rPr>
          <w:rFonts w:cstheme="minorHAnsi"/>
          <w:position w:val="-24"/>
          <w:lang w:val="en-US"/>
        </w:rPr>
        <w:object w:dxaOrig="3840" w:dyaOrig="620">
          <v:shape id="_x0000_i1039" type="#_x0000_t75" style="width:190.5pt;height:31.5pt" o:ole="">
            <v:imagedata r:id="rId32" o:title=""/>
          </v:shape>
          <o:OLEObject Type="Embed" ProgID="Equation.3" ShapeID="_x0000_i1039" DrawAspect="Content" ObjectID="_1364811520" r:id="rId33"/>
        </w:object>
      </w:r>
      <w:r w:rsidR="00013C47" w:rsidRPr="00E85FB5">
        <w:rPr>
          <w:rFonts w:cstheme="minorHAnsi"/>
          <w:lang w:val="en-US"/>
        </w:rPr>
        <w:tab/>
      </w:r>
      <w:r w:rsidR="00013C47" w:rsidRPr="00E85FB5">
        <w:rPr>
          <w:rFonts w:cstheme="minorHAnsi"/>
          <w:lang w:val="en-US"/>
        </w:rPr>
        <w:tab/>
      </w:r>
      <w:r w:rsidR="00013C47" w:rsidRPr="00E85FB5">
        <w:rPr>
          <w:rFonts w:cstheme="minorHAnsi"/>
          <w:lang w:val="en-US"/>
        </w:rPr>
        <w:tab/>
      </w:r>
      <w:r w:rsidR="00013C47" w:rsidRPr="00E85FB5">
        <w:rPr>
          <w:rFonts w:cstheme="minorHAnsi"/>
          <w:lang w:val="en-US"/>
        </w:rPr>
        <w:tab/>
      </w:r>
      <w:r w:rsidR="00013C47" w:rsidRPr="00E85FB5">
        <w:rPr>
          <w:rFonts w:cstheme="minorHAnsi"/>
          <w:lang w:val="en-US"/>
        </w:rPr>
        <w:tab/>
      </w:r>
      <w:r w:rsidR="00013C47" w:rsidRPr="00E85FB5">
        <w:rPr>
          <w:rFonts w:cstheme="minorHAnsi"/>
          <w:lang w:val="en-US"/>
        </w:rPr>
        <w:tab/>
      </w:r>
      <w:r w:rsidR="00013C47" w:rsidRPr="00E85FB5">
        <w:rPr>
          <w:rFonts w:cstheme="minorHAnsi"/>
          <w:lang w:val="en-US"/>
        </w:rPr>
        <w:tab/>
        <w:t>(15)</w:t>
      </w:r>
    </w:p>
    <w:p w:rsidR="001D67A3" w:rsidRPr="00E85FB5" w:rsidRDefault="001D67A3" w:rsidP="001D67A3">
      <w:pPr>
        <w:rPr>
          <w:rFonts w:cstheme="minorHAnsi"/>
          <w:lang w:val="en-US"/>
        </w:rPr>
      </w:pPr>
      <w:r w:rsidRPr="00E85FB5">
        <w:rPr>
          <w:rFonts w:cstheme="minorHAnsi"/>
          <w:position w:val="-24"/>
          <w:lang w:val="en-US"/>
        </w:rPr>
        <w:object w:dxaOrig="8520" w:dyaOrig="620">
          <v:shape id="_x0000_i1040" type="#_x0000_t75" style="width:426.75pt;height:31.5pt" o:ole="">
            <v:imagedata r:id="rId34" o:title=""/>
          </v:shape>
          <o:OLEObject Type="Embed" ProgID="Equation.3" ShapeID="_x0000_i1040" DrawAspect="Content" ObjectID="_1364811521" r:id="rId35"/>
        </w:object>
      </w:r>
      <w:r w:rsidR="00013C47" w:rsidRPr="00E85FB5">
        <w:rPr>
          <w:rFonts w:cstheme="minorHAnsi"/>
          <w:position w:val="-24"/>
          <w:lang w:val="en-US"/>
        </w:rPr>
        <w:t xml:space="preserve"> </w:t>
      </w:r>
      <w:r w:rsidRPr="00E85FB5">
        <w:rPr>
          <w:rFonts w:cstheme="minorHAnsi"/>
          <w:lang w:val="en-US"/>
        </w:rPr>
        <w:t>(</w:t>
      </w:r>
      <w:r w:rsidR="00B873BD" w:rsidRPr="00E85FB5">
        <w:rPr>
          <w:rFonts w:cstheme="minorHAnsi"/>
          <w:lang w:val="en-US"/>
        </w:rPr>
        <w:t>16</w:t>
      </w:r>
      <w:r w:rsidRPr="00E85FB5">
        <w:rPr>
          <w:rFonts w:cstheme="minorHAnsi"/>
          <w:lang w:val="en-US"/>
        </w:rPr>
        <w:t>)</w:t>
      </w:r>
    </w:p>
    <w:p w:rsidR="001D67A3" w:rsidRPr="00E85FB5" w:rsidRDefault="001D67A3" w:rsidP="001D67A3">
      <w:pPr>
        <w:jc w:val="both"/>
        <w:rPr>
          <w:rFonts w:cstheme="minorHAnsi"/>
          <w:lang w:val="en-US"/>
        </w:rPr>
      </w:pPr>
      <w:r w:rsidRPr="00E85FB5">
        <w:rPr>
          <w:rFonts w:cstheme="minorHAnsi"/>
          <w:position w:val="-44"/>
          <w:lang w:val="en-US"/>
        </w:rPr>
        <w:object w:dxaOrig="8760" w:dyaOrig="999">
          <v:shape id="_x0000_i1041" type="#_x0000_t75" style="width:430.5pt;height:50.25pt" o:ole="">
            <v:imagedata r:id="rId36" o:title=""/>
          </v:shape>
          <o:OLEObject Type="Embed" ProgID="Equation.3" ShapeID="_x0000_i1041" DrawAspect="Content" ObjectID="_1364811522" r:id="rId37"/>
        </w:object>
      </w:r>
      <w:r w:rsidRPr="00E85FB5">
        <w:rPr>
          <w:rFonts w:cstheme="minorHAnsi"/>
          <w:lang w:val="en-US"/>
        </w:rPr>
        <w:t>(</w:t>
      </w:r>
      <w:r w:rsidR="00B873BD" w:rsidRPr="00E85FB5">
        <w:rPr>
          <w:rFonts w:cstheme="minorHAnsi"/>
          <w:lang w:val="en-US"/>
        </w:rPr>
        <w:t>17</w:t>
      </w:r>
      <w:r w:rsidRPr="00E85FB5">
        <w:rPr>
          <w:rFonts w:cstheme="minorHAnsi"/>
          <w:lang w:val="en-US"/>
        </w:rPr>
        <w:t>)</w:t>
      </w:r>
    </w:p>
    <w:p w:rsidR="001D67A3" w:rsidRPr="00E85FB5" w:rsidRDefault="001D67A3" w:rsidP="001B7C38">
      <w:pPr>
        <w:rPr>
          <w:rFonts w:cstheme="minorHAnsi"/>
          <w:lang w:val="it-IT"/>
        </w:rPr>
      </w:pPr>
    </w:p>
    <w:p w:rsidR="004F32F5" w:rsidRDefault="003B3B7D" w:rsidP="001B7C38">
      <w:pPr>
        <w:rPr>
          <w:rFonts w:cstheme="minorHAnsi"/>
          <w:lang w:val="it-IT"/>
        </w:rPr>
      </w:pPr>
      <w:r w:rsidRPr="00E85FB5">
        <w:rPr>
          <w:rFonts w:cstheme="minorHAnsi"/>
          <w:lang w:val="it-IT"/>
        </w:rPr>
        <w:t xml:space="preserve">Parameter values and their sources are shown in Table </w:t>
      </w:r>
      <w:r w:rsidR="00AF1CCF" w:rsidRPr="00E85FB5">
        <w:rPr>
          <w:rFonts w:cstheme="minorHAnsi"/>
          <w:lang w:val="it-IT"/>
        </w:rPr>
        <w:t>S</w:t>
      </w:r>
      <w:r w:rsidR="00E506AF" w:rsidRPr="00E85FB5">
        <w:rPr>
          <w:rFonts w:cstheme="minorHAnsi"/>
          <w:lang w:val="it-IT"/>
        </w:rPr>
        <w:t>1</w:t>
      </w:r>
      <w:r w:rsidRPr="00E85FB5">
        <w:rPr>
          <w:rFonts w:cstheme="minorHAnsi"/>
          <w:lang w:val="it-IT"/>
        </w:rPr>
        <w:t xml:space="preserve">. </w:t>
      </w:r>
      <w:r w:rsidR="001D67A3" w:rsidRPr="00E85FB5">
        <w:rPr>
          <w:rFonts w:cstheme="minorHAnsi"/>
          <w:lang w:val="it-IT"/>
        </w:rPr>
        <w:t xml:space="preserve">Susceptible individuals (S) become infected at a force of infection dependent upon the per capita contact rate (k), the probability of transmission upon contact with an infectious person (q), and the proportion of individuals within the total population that are infectious. </w:t>
      </w:r>
      <w:r w:rsidR="004F32F5" w:rsidRPr="00971E80">
        <w:t>In this scenario it was also assumed that the contact rate within the population would be reduced during periods when over 0.5</w:t>
      </w:r>
      <w:r w:rsidR="004F32F5">
        <w:t>%</w:t>
      </w:r>
      <w:r w:rsidR="004F32F5" w:rsidRPr="00971E80">
        <w:t xml:space="preserve"> of the population is symptomatically infected. This was based on the assumption that, during periods of high pandemic activity, individuals will change their behavio</w:t>
      </w:r>
      <w:r w:rsidR="004F32F5">
        <w:t>u</w:t>
      </w:r>
      <w:r w:rsidR="004F32F5" w:rsidRPr="00971E80">
        <w:t>r to reduce contacts, and/or social distancing measures such as school closure will be implemented.</w:t>
      </w:r>
    </w:p>
    <w:p w:rsidR="008874B3" w:rsidRPr="00E85FB5" w:rsidRDefault="000E0F05" w:rsidP="001B7C38">
      <w:pPr>
        <w:rPr>
          <w:rFonts w:cstheme="minorHAnsi"/>
          <w:lang w:val="it-IT"/>
        </w:rPr>
      </w:pPr>
      <w:r w:rsidRPr="00E85FB5">
        <w:rPr>
          <w:rFonts w:cstheme="minorHAnsi"/>
          <w:lang w:val="it-IT"/>
        </w:rPr>
        <w:t>Newly infected individuals move sequentially through an e</w:t>
      </w:r>
      <w:r w:rsidR="008874B3" w:rsidRPr="00E85FB5">
        <w:rPr>
          <w:rFonts w:cstheme="minorHAnsi"/>
          <w:lang w:val="it-IT"/>
        </w:rPr>
        <w:t xml:space="preserve">xposed (but not yet symptomatic </w:t>
      </w:r>
      <w:r w:rsidRPr="00E85FB5">
        <w:rPr>
          <w:rFonts w:cstheme="minorHAnsi"/>
          <w:lang w:val="it-IT"/>
        </w:rPr>
        <w:t>or infectious</w:t>
      </w:r>
      <w:r w:rsidR="008874B3" w:rsidRPr="00E85FB5">
        <w:rPr>
          <w:rFonts w:cstheme="minorHAnsi"/>
          <w:lang w:val="it-IT"/>
        </w:rPr>
        <w:t>)</w:t>
      </w:r>
      <w:r w:rsidRPr="00E85FB5">
        <w:rPr>
          <w:rFonts w:cstheme="minorHAnsi"/>
          <w:lang w:val="it-IT"/>
        </w:rPr>
        <w:t xml:space="preserve"> compartment (E), followed by a an infectious, asymptomatic period (A). After this, a proportion </w:t>
      </w:r>
      <w:r w:rsidR="007053C0" w:rsidRPr="00E85FB5">
        <w:rPr>
          <w:rFonts w:cstheme="minorHAnsi"/>
          <w:lang w:val="it-IT"/>
        </w:rPr>
        <w:t>(</w:t>
      </w:r>
      <w:r w:rsidR="0062359E" w:rsidRPr="00E85FB5">
        <w:rPr>
          <w:rFonts w:cstheme="minorHAnsi"/>
          <w:lang w:val="it-IT"/>
        </w:rPr>
        <w:t>p</w:t>
      </w:r>
      <w:r w:rsidR="0062359E" w:rsidRPr="00E85FB5">
        <w:rPr>
          <w:rFonts w:cstheme="minorHAnsi"/>
          <w:lang w:val="it-IT"/>
        </w:rPr>
        <w:softHyphen/>
      </w:r>
      <w:r w:rsidR="0062359E" w:rsidRPr="00E85FB5">
        <w:rPr>
          <w:rFonts w:cstheme="minorHAnsi"/>
          <w:vertAlign w:val="subscript"/>
          <w:lang w:val="it-IT"/>
        </w:rPr>
        <w:t>a</w:t>
      </w:r>
      <w:r w:rsidR="007053C0" w:rsidRPr="00E85FB5">
        <w:rPr>
          <w:rFonts w:cstheme="minorHAnsi"/>
          <w:lang w:val="it-IT"/>
        </w:rPr>
        <w:t xml:space="preserve">) </w:t>
      </w:r>
      <w:r w:rsidRPr="00E85FB5">
        <w:rPr>
          <w:rFonts w:cstheme="minorHAnsi"/>
          <w:lang w:val="it-IT"/>
        </w:rPr>
        <w:t xml:space="preserve">of those infected will </w:t>
      </w:r>
      <w:r w:rsidR="0062359E" w:rsidRPr="00E85FB5">
        <w:rPr>
          <w:rFonts w:cstheme="minorHAnsi"/>
          <w:lang w:val="it-IT"/>
        </w:rPr>
        <w:t>will remain asymptomatic, moving sequentially to compartments I</w:t>
      </w:r>
      <w:r w:rsidR="007053C0" w:rsidRPr="00E85FB5">
        <w:rPr>
          <w:rFonts w:cstheme="minorHAnsi"/>
          <w:vertAlign w:val="subscript"/>
          <w:lang w:val="it-IT"/>
        </w:rPr>
        <w:t>a</w:t>
      </w:r>
      <w:r w:rsidR="0062359E" w:rsidRPr="00E85FB5">
        <w:rPr>
          <w:rFonts w:cstheme="minorHAnsi"/>
          <w:lang w:val="it-IT"/>
        </w:rPr>
        <w:t xml:space="preserve"> and I</w:t>
      </w:r>
      <w:r w:rsidR="0062359E" w:rsidRPr="00E85FB5">
        <w:rPr>
          <w:rFonts w:cstheme="minorHAnsi"/>
          <w:vertAlign w:val="subscript"/>
          <w:lang w:val="it-IT"/>
        </w:rPr>
        <w:t>a2</w:t>
      </w:r>
      <w:r w:rsidR="0062359E" w:rsidRPr="00E85FB5">
        <w:rPr>
          <w:rFonts w:cstheme="minorHAnsi"/>
          <w:lang w:val="it-IT"/>
        </w:rPr>
        <w:t>. Another proportion of infected individuals (</w:t>
      </w:r>
      <w:r w:rsidR="0062359E" w:rsidRPr="00E85FB5">
        <w:rPr>
          <w:rFonts w:cstheme="minorHAnsi"/>
          <w:i/>
          <w:lang w:val="it-IT"/>
        </w:rPr>
        <w:t>p</w:t>
      </w:r>
      <w:r w:rsidR="0062359E" w:rsidRPr="00E85FB5">
        <w:rPr>
          <w:rFonts w:cstheme="minorHAnsi"/>
          <w:vertAlign w:val="subscript"/>
          <w:lang w:val="it-IT"/>
        </w:rPr>
        <w:t>m</w:t>
      </w:r>
      <w:r w:rsidR="0062359E" w:rsidRPr="00E85FB5">
        <w:rPr>
          <w:rFonts w:cstheme="minorHAnsi"/>
          <w:lang w:val="it-IT"/>
        </w:rPr>
        <w:t>) will develop mild symptoms and move to compartment I</w:t>
      </w:r>
      <w:r w:rsidR="0062359E" w:rsidRPr="00E85FB5">
        <w:rPr>
          <w:rFonts w:cstheme="minorHAnsi"/>
          <w:vertAlign w:val="subscript"/>
          <w:lang w:val="it-IT"/>
        </w:rPr>
        <w:t>m</w:t>
      </w:r>
      <w:r w:rsidR="0062359E" w:rsidRPr="00E85FB5">
        <w:rPr>
          <w:rFonts w:cstheme="minorHAnsi"/>
          <w:lang w:val="it-IT"/>
        </w:rPr>
        <w:t xml:space="preserve">, while the remaining proportion, </w:t>
      </w:r>
      <w:r w:rsidR="0062359E" w:rsidRPr="00E85FB5">
        <w:rPr>
          <w:rFonts w:cstheme="minorHAnsi"/>
          <w:i/>
          <w:lang w:val="it-IT"/>
        </w:rPr>
        <w:t>p</w:t>
      </w:r>
      <w:r w:rsidR="0062359E" w:rsidRPr="00E85FB5">
        <w:rPr>
          <w:rFonts w:cstheme="minorHAnsi"/>
          <w:vertAlign w:val="subscript"/>
          <w:lang w:val="it-IT"/>
        </w:rPr>
        <w:t>c</w:t>
      </w:r>
      <w:r w:rsidR="003F2A51" w:rsidRPr="00E85FB5">
        <w:rPr>
          <w:rFonts w:cstheme="minorHAnsi"/>
          <w:lang w:val="it-IT"/>
        </w:rPr>
        <w:t>,</w:t>
      </w:r>
      <w:r w:rsidR="0062359E" w:rsidRPr="00E85FB5">
        <w:rPr>
          <w:rFonts w:cstheme="minorHAnsi"/>
          <w:lang w:val="it-IT"/>
        </w:rPr>
        <w:t xml:space="preserve"> will become critical cases with severe infections (I</w:t>
      </w:r>
      <w:r w:rsidR="0062359E" w:rsidRPr="00E85FB5">
        <w:rPr>
          <w:rFonts w:cstheme="minorHAnsi"/>
          <w:vertAlign w:val="subscript"/>
          <w:lang w:val="it-IT"/>
        </w:rPr>
        <w:t>c</w:t>
      </w:r>
      <w:r w:rsidR="0062359E" w:rsidRPr="00E85FB5">
        <w:rPr>
          <w:rFonts w:cstheme="minorHAnsi"/>
          <w:lang w:val="it-IT"/>
        </w:rPr>
        <w:t xml:space="preserve">). </w:t>
      </w:r>
      <w:r w:rsidR="008874B3" w:rsidRPr="00E85FB5">
        <w:rPr>
          <w:rFonts w:cstheme="minorHAnsi"/>
          <w:lang w:val="it-IT"/>
        </w:rPr>
        <w:t>In the</w:t>
      </w:r>
      <w:r w:rsidR="004F32F5">
        <w:rPr>
          <w:rFonts w:cstheme="minorHAnsi"/>
          <w:lang w:val="it-IT"/>
        </w:rPr>
        <w:t xml:space="preserve"> </w:t>
      </w:r>
      <w:r w:rsidR="00E85FB5">
        <w:rPr>
          <w:rFonts w:cstheme="minorHAnsi"/>
          <w:lang w:val="it-IT"/>
        </w:rPr>
        <w:t>base-case</w:t>
      </w:r>
      <w:r w:rsidR="008874B3" w:rsidRPr="00E85FB5">
        <w:rPr>
          <w:rFonts w:cstheme="minorHAnsi"/>
          <w:lang w:val="it-IT"/>
        </w:rPr>
        <w:t xml:space="preserve"> modelled scenario we assumed that 30 %, 69.8 %, and 0.2% of cases will be asymptomatic, mild and critical, respectively</w:t>
      </w:r>
      <w:r w:rsidR="007053C0" w:rsidRPr="00E85FB5">
        <w:rPr>
          <w:rFonts w:cstheme="minorHAnsi"/>
          <w:lang w:val="it-IT"/>
        </w:rPr>
        <w:t>, and that these case groups differ from eachother in their duration of infectiousness.</w:t>
      </w:r>
    </w:p>
    <w:p w:rsidR="004819E8" w:rsidRPr="00E85FB5" w:rsidRDefault="004819E8" w:rsidP="007053C0">
      <w:pPr>
        <w:rPr>
          <w:rFonts w:cstheme="minorHAnsi"/>
        </w:rPr>
      </w:pPr>
      <w:r w:rsidRPr="00E85FB5">
        <w:rPr>
          <w:rFonts w:cstheme="minorHAnsi"/>
          <w:lang w:val="it-IT"/>
        </w:rPr>
        <w:t>We assumed that all critical cases will require antiviral treatment and hospitalisation, and that a proportion (</w:t>
      </w:r>
      <w:r w:rsidRPr="00E85FB5">
        <w:rPr>
          <w:rFonts w:cstheme="minorHAnsi"/>
          <w:i/>
          <w:lang w:val="it-IT"/>
        </w:rPr>
        <w:t>p</w:t>
      </w:r>
      <w:r w:rsidRPr="00E85FB5">
        <w:rPr>
          <w:rFonts w:cstheme="minorHAnsi"/>
          <w:vertAlign w:val="subscript"/>
          <w:lang w:val="it-IT"/>
        </w:rPr>
        <w:t>v</w:t>
      </w:r>
      <w:r w:rsidRPr="00E85FB5">
        <w:rPr>
          <w:rFonts w:cstheme="minorHAnsi"/>
          <w:lang w:val="it-IT"/>
        </w:rPr>
        <w:t>)</w:t>
      </w:r>
      <w:r w:rsidR="002D7844" w:rsidRPr="00E85FB5">
        <w:rPr>
          <w:rFonts w:cstheme="minorHAnsi"/>
          <w:lang w:val="it-IT"/>
        </w:rPr>
        <w:t xml:space="preserve"> require mechanical ventilation</w:t>
      </w:r>
      <w:r w:rsidRPr="00E85FB5">
        <w:rPr>
          <w:rFonts w:cstheme="minorHAnsi"/>
          <w:lang w:val="it-IT"/>
        </w:rPr>
        <w:t>, although whether they receive these depended upon the availabitilty of oseltamivir, hospital beds, and ventilators, defined by parameters ε, ω, and φ repctively, which take a value of 1 if the resource is available, and 0 if the resource is depleted (in the case of oseltamivir) or fully occupied (in the case of beds and ventilators</w:t>
      </w:r>
      <w:r w:rsidR="00472AD5" w:rsidRPr="00E85FB5">
        <w:rPr>
          <w:rFonts w:cstheme="minorHAnsi"/>
          <w:lang w:val="it-IT"/>
        </w:rPr>
        <w:t>)</w:t>
      </w:r>
      <w:r w:rsidRPr="00E85FB5">
        <w:rPr>
          <w:rFonts w:cstheme="minorHAnsi"/>
          <w:lang w:val="it-IT"/>
        </w:rPr>
        <w:t xml:space="preserve">. </w:t>
      </w:r>
      <w:r w:rsidR="00472AD5" w:rsidRPr="00E85FB5">
        <w:rPr>
          <w:rFonts w:cstheme="minorHAnsi"/>
          <w:lang w:val="it-IT"/>
        </w:rPr>
        <w:t xml:space="preserve">If ventilators are available, </w:t>
      </w:r>
      <w:r w:rsidR="00472AD5" w:rsidRPr="00E85FB5">
        <w:rPr>
          <w:rFonts w:cstheme="minorHAnsi"/>
          <w:lang w:val="it-IT"/>
        </w:rPr>
        <w:lastRenderedPageBreak/>
        <w:t>those cases requiring ventilation would move to the ventilated group (V</w:t>
      </w:r>
      <w:r w:rsidR="00472AD5" w:rsidRPr="00E85FB5">
        <w:rPr>
          <w:rFonts w:cstheme="minorHAnsi"/>
          <w:vertAlign w:val="subscript"/>
          <w:lang w:val="it-IT"/>
        </w:rPr>
        <w:t>1</w:t>
      </w:r>
      <w:r w:rsidR="00472AD5" w:rsidRPr="00E85FB5">
        <w:rPr>
          <w:rFonts w:cstheme="minorHAnsi"/>
          <w:lang w:val="it-IT"/>
        </w:rPr>
        <w:t xml:space="preserve">), otherwise they are assumed to die. </w:t>
      </w:r>
      <w:r w:rsidR="00BE15E1" w:rsidRPr="00E85FB5">
        <w:rPr>
          <w:rFonts w:cstheme="minorHAnsi"/>
          <w:lang w:val="it-IT"/>
        </w:rPr>
        <w:t>If hospital beds are available, other critical cases</w:t>
      </w:r>
      <w:r w:rsidR="00472AD5" w:rsidRPr="00E85FB5">
        <w:rPr>
          <w:rFonts w:cstheme="minorHAnsi"/>
          <w:lang w:val="it-IT"/>
        </w:rPr>
        <w:t xml:space="preserve"> will become hospitalised</w:t>
      </w:r>
      <w:r w:rsidR="00BE15E1" w:rsidRPr="00E85FB5">
        <w:rPr>
          <w:rFonts w:cstheme="minorHAnsi"/>
          <w:lang w:val="it-IT"/>
        </w:rPr>
        <w:t xml:space="preserve"> and move</w:t>
      </w:r>
      <w:r w:rsidR="00472AD5" w:rsidRPr="00E85FB5">
        <w:rPr>
          <w:rFonts w:cstheme="minorHAnsi"/>
          <w:lang w:val="it-IT"/>
        </w:rPr>
        <w:t xml:space="preserve"> move to compartment</w:t>
      </w:r>
      <w:r w:rsidR="00472AD5" w:rsidRPr="00E85FB5">
        <w:rPr>
          <w:rFonts w:cstheme="minorHAnsi"/>
        </w:rPr>
        <w:t xml:space="preserve"> </w:t>
      </w:r>
      <w:proofErr w:type="spellStart"/>
      <w:r w:rsidR="00472AD5" w:rsidRPr="00E85FB5">
        <w:rPr>
          <w:rFonts w:cstheme="minorHAnsi"/>
        </w:rPr>
        <w:t>I</w:t>
      </w:r>
      <w:r w:rsidR="00BE15E1" w:rsidRPr="00E85FB5">
        <w:rPr>
          <w:rFonts w:cstheme="minorHAnsi"/>
          <w:vertAlign w:val="subscript"/>
        </w:rPr>
        <w:t>h</w:t>
      </w:r>
      <w:proofErr w:type="spellEnd"/>
      <w:r w:rsidR="00472AD5" w:rsidRPr="00E85FB5">
        <w:rPr>
          <w:rFonts w:cstheme="minorHAnsi"/>
        </w:rPr>
        <w:t xml:space="preserve">, otherwise they become critical outpatients with or without antiviral </w:t>
      </w:r>
      <w:proofErr w:type="spellStart"/>
      <w:r w:rsidR="00472AD5" w:rsidRPr="00E85FB5">
        <w:rPr>
          <w:rFonts w:cstheme="minorHAnsi"/>
        </w:rPr>
        <w:t>treament</w:t>
      </w:r>
      <w:proofErr w:type="spellEnd"/>
      <w:r w:rsidR="00472AD5" w:rsidRPr="00E85FB5">
        <w:rPr>
          <w:rFonts w:cstheme="minorHAnsi"/>
        </w:rPr>
        <w:t xml:space="preserve"> (I</w:t>
      </w:r>
      <w:r w:rsidR="00472AD5" w:rsidRPr="00E85FB5">
        <w:rPr>
          <w:rFonts w:cstheme="minorHAnsi"/>
          <w:vertAlign w:val="subscript"/>
        </w:rPr>
        <w:t>ca</w:t>
      </w:r>
      <w:r w:rsidR="00472AD5" w:rsidRPr="00E85FB5">
        <w:rPr>
          <w:rFonts w:cstheme="minorHAnsi"/>
        </w:rPr>
        <w:t xml:space="preserve"> and I</w:t>
      </w:r>
      <w:r w:rsidR="00472AD5" w:rsidRPr="00E85FB5">
        <w:rPr>
          <w:rFonts w:cstheme="minorHAnsi"/>
          <w:vertAlign w:val="subscript"/>
        </w:rPr>
        <w:t>c2</w:t>
      </w:r>
      <w:r w:rsidR="00BE15E1" w:rsidRPr="00E85FB5">
        <w:rPr>
          <w:rFonts w:cstheme="minorHAnsi"/>
        </w:rPr>
        <w:t>, respectively</w:t>
      </w:r>
      <w:r w:rsidR="00472AD5" w:rsidRPr="00E85FB5">
        <w:rPr>
          <w:rFonts w:cstheme="minorHAnsi"/>
        </w:rPr>
        <w:t>)</w:t>
      </w:r>
      <w:r w:rsidR="00BE15E1" w:rsidRPr="00E85FB5">
        <w:rPr>
          <w:rFonts w:cstheme="minorHAnsi"/>
        </w:rPr>
        <w:t xml:space="preserve">, </w:t>
      </w:r>
      <w:r w:rsidR="00472AD5" w:rsidRPr="00E85FB5">
        <w:rPr>
          <w:rFonts w:cstheme="minorHAnsi"/>
        </w:rPr>
        <w:t>depending on the avai</w:t>
      </w:r>
      <w:r w:rsidR="00BE15E1" w:rsidRPr="00E85FB5">
        <w:rPr>
          <w:rFonts w:cstheme="minorHAnsi"/>
        </w:rPr>
        <w:t xml:space="preserve">lability of oseltamivir. </w:t>
      </w:r>
      <w:r w:rsidR="00BE15E1" w:rsidRPr="00E85FB5">
        <w:rPr>
          <w:rFonts w:cstheme="minorHAnsi"/>
          <w:lang w:val="en-US"/>
        </w:rPr>
        <w:t xml:space="preserve">For these groups different death rates and different infectious periods apply according </w:t>
      </w:r>
      <w:r w:rsidR="002D7844" w:rsidRPr="00E85FB5">
        <w:rPr>
          <w:rFonts w:cstheme="minorHAnsi"/>
          <w:lang w:val="en-US"/>
        </w:rPr>
        <w:t xml:space="preserve">to the severity and </w:t>
      </w:r>
      <w:r w:rsidR="00BE15E1" w:rsidRPr="00E85FB5">
        <w:rPr>
          <w:rFonts w:cstheme="minorHAnsi"/>
          <w:lang w:val="en-US"/>
        </w:rPr>
        <w:t>whether they receive the healthcare resources they require</w:t>
      </w:r>
      <w:r w:rsidR="00BE15E1" w:rsidRPr="00E85FB5">
        <w:rPr>
          <w:rFonts w:cstheme="minorHAnsi"/>
        </w:rPr>
        <w:t>.</w:t>
      </w:r>
      <w:r w:rsidR="00686EF2" w:rsidRPr="00E85FB5">
        <w:rPr>
          <w:rFonts w:cstheme="minorHAnsi"/>
        </w:rPr>
        <w:t xml:space="preserve"> Hospitalised and ventilated cases are assumed to remain in hospital for a period after their infectiousness has disappeared, as denoted by compartments I</w:t>
      </w:r>
      <w:r w:rsidR="00686EF2" w:rsidRPr="00E85FB5">
        <w:rPr>
          <w:rFonts w:cstheme="minorHAnsi"/>
          <w:vertAlign w:val="subscript"/>
        </w:rPr>
        <w:t>h2</w:t>
      </w:r>
      <w:r w:rsidR="00686EF2" w:rsidRPr="00E85FB5">
        <w:rPr>
          <w:rFonts w:cstheme="minorHAnsi"/>
        </w:rPr>
        <w:t xml:space="preserve"> and I</w:t>
      </w:r>
      <w:r w:rsidR="00686EF2" w:rsidRPr="00E85FB5">
        <w:rPr>
          <w:rFonts w:cstheme="minorHAnsi"/>
          <w:vertAlign w:val="subscript"/>
        </w:rPr>
        <w:t>v2</w:t>
      </w:r>
      <w:r w:rsidR="00686EF2" w:rsidRPr="00E85FB5">
        <w:rPr>
          <w:rFonts w:cstheme="minorHAnsi"/>
        </w:rPr>
        <w:t xml:space="preserve">, respectively.  </w:t>
      </w:r>
    </w:p>
    <w:p w:rsidR="00155310" w:rsidRPr="00E85FB5" w:rsidRDefault="00BE15E1" w:rsidP="007053C0">
      <w:pPr>
        <w:rPr>
          <w:rFonts w:cstheme="minorHAnsi"/>
        </w:rPr>
      </w:pPr>
      <w:r w:rsidRPr="00E85FB5">
        <w:rPr>
          <w:rFonts w:cstheme="minorHAnsi"/>
        </w:rPr>
        <w:t>If oseltamivir is available, a proportion of mild cases (</w:t>
      </w:r>
      <w:proofErr w:type="spellStart"/>
      <w:r w:rsidRPr="00E85FB5">
        <w:rPr>
          <w:rFonts w:cstheme="minorHAnsi"/>
        </w:rPr>
        <w:t>p</w:t>
      </w:r>
      <w:r w:rsidRPr="00E85FB5">
        <w:rPr>
          <w:rFonts w:cstheme="minorHAnsi"/>
          <w:vertAlign w:val="subscript"/>
        </w:rPr>
        <w:t>ma</w:t>
      </w:r>
      <w:proofErr w:type="spellEnd"/>
      <w:r w:rsidRPr="00E85FB5">
        <w:rPr>
          <w:rFonts w:cstheme="minorHAnsi"/>
        </w:rPr>
        <w:t xml:space="preserve">) could also receive antiviral treatment and move to compartment </w:t>
      </w:r>
      <w:proofErr w:type="spellStart"/>
      <w:r w:rsidRPr="00E85FB5">
        <w:rPr>
          <w:rFonts w:cstheme="minorHAnsi"/>
        </w:rPr>
        <w:t>I</w:t>
      </w:r>
      <w:r w:rsidRPr="00E85FB5">
        <w:rPr>
          <w:rFonts w:cstheme="minorHAnsi"/>
          <w:vertAlign w:val="subscript"/>
        </w:rPr>
        <w:t>ma</w:t>
      </w:r>
      <w:proofErr w:type="spellEnd"/>
      <w:r w:rsidRPr="00E85FB5">
        <w:rPr>
          <w:rFonts w:cstheme="minorHAnsi"/>
        </w:rPr>
        <w:t>, although this was set to zero in our scenario, under the assumption that only severe cases would be treated. All asymptomatic and mild cases were assumed to recover from infection.</w:t>
      </w:r>
    </w:p>
    <w:p w:rsidR="002276C0" w:rsidRPr="00E85FB5" w:rsidRDefault="002276C0">
      <w:pPr>
        <w:rPr>
          <w:rFonts w:cstheme="minorHAnsi"/>
        </w:rPr>
      </w:pPr>
    </w:p>
    <w:p w:rsidR="00155310" w:rsidRPr="00E85FB5" w:rsidRDefault="00F939D1" w:rsidP="00330433">
      <w:pPr>
        <w:rPr>
          <w:rFonts w:cstheme="minorHAnsi"/>
          <w:b/>
          <w:i/>
          <w:lang w:val="en-US"/>
        </w:rPr>
      </w:pPr>
      <w:r w:rsidRPr="00E85FB5">
        <w:rPr>
          <w:rFonts w:cstheme="minorHAnsi"/>
          <w:b/>
          <w:i/>
          <w:lang w:val="en-US"/>
        </w:rPr>
        <w:t xml:space="preserve">Depletion </w:t>
      </w:r>
      <w:r w:rsidR="00477A44" w:rsidRPr="00E85FB5">
        <w:rPr>
          <w:rFonts w:cstheme="minorHAnsi"/>
          <w:b/>
          <w:i/>
          <w:lang w:val="en-US"/>
        </w:rPr>
        <w:t>of</w:t>
      </w:r>
      <w:r w:rsidR="00155310" w:rsidRPr="00E85FB5">
        <w:rPr>
          <w:rFonts w:cstheme="minorHAnsi"/>
          <w:b/>
          <w:i/>
          <w:lang w:val="en-US"/>
        </w:rPr>
        <w:t xml:space="preserve"> health system resources</w:t>
      </w:r>
    </w:p>
    <w:p w:rsidR="00155310" w:rsidRPr="00E85FB5" w:rsidRDefault="00700C9E" w:rsidP="00330433">
      <w:pPr>
        <w:rPr>
          <w:rFonts w:cstheme="minorHAnsi"/>
          <w:lang w:val="en-US"/>
        </w:rPr>
      </w:pPr>
      <w:r w:rsidRPr="00E85FB5">
        <w:rPr>
          <w:rFonts w:cstheme="minorHAnsi"/>
          <w:lang w:val="en-US"/>
        </w:rPr>
        <w:t>The number of osel</w:t>
      </w:r>
      <w:r w:rsidR="00155310" w:rsidRPr="00E85FB5">
        <w:rPr>
          <w:rFonts w:cstheme="minorHAnsi"/>
          <w:lang w:val="en-US"/>
        </w:rPr>
        <w:t>tamivir courses available within a province w</w:t>
      </w:r>
      <w:r w:rsidRPr="00E85FB5">
        <w:rPr>
          <w:rFonts w:cstheme="minorHAnsi"/>
          <w:lang w:val="en-US"/>
        </w:rPr>
        <w:t>as</w:t>
      </w:r>
      <w:r w:rsidR="00155310" w:rsidRPr="00E85FB5">
        <w:rPr>
          <w:rFonts w:cstheme="minorHAnsi"/>
          <w:lang w:val="en-US"/>
        </w:rPr>
        <w:t xml:space="preserve"> assumed to be depleted at a rate of </w:t>
      </w:r>
      <w:r w:rsidRPr="00E85FB5">
        <w:rPr>
          <w:rFonts w:cstheme="minorHAnsi"/>
          <w:lang w:val="en-US"/>
        </w:rPr>
        <w:t xml:space="preserve">one course </w:t>
      </w:r>
      <w:r w:rsidR="00155310" w:rsidRPr="00E85FB5">
        <w:rPr>
          <w:rFonts w:cstheme="minorHAnsi"/>
          <w:lang w:val="en-US"/>
        </w:rPr>
        <w:t xml:space="preserve">per </w:t>
      </w:r>
      <w:r w:rsidRPr="00E85FB5">
        <w:rPr>
          <w:rFonts w:cstheme="minorHAnsi"/>
          <w:lang w:val="en-US"/>
        </w:rPr>
        <w:t>new severe infection</w:t>
      </w:r>
      <w:r w:rsidR="003F2A51" w:rsidRPr="00E85FB5">
        <w:rPr>
          <w:rFonts w:cstheme="minorHAnsi"/>
          <w:lang w:val="en-US"/>
        </w:rPr>
        <w:t xml:space="preserve">, with one course defined as ten </w:t>
      </w:r>
      <w:r w:rsidRPr="00E85FB5">
        <w:rPr>
          <w:rFonts w:cstheme="minorHAnsi"/>
          <w:lang w:val="en-US"/>
        </w:rPr>
        <w:t xml:space="preserve">capsules (75 mg twice daily for five days). </w:t>
      </w:r>
    </w:p>
    <w:p w:rsidR="00477A44" w:rsidRPr="00E85FB5" w:rsidRDefault="00E84547" w:rsidP="00330433">
      <w:pPr>
        <w:rPr>
          <w:rFonts w:cstheme="minorHAnsi"/>
          <w:lang w:val="en-US"/>
        </w:rPr>
      </w:pPr>
      <w:r w:rsidRPr="00E85FB5">
        <w:rPr>
          <w:rFonts w:cstheme="minorHAnsi"/>
          <w:lang w:val="en-US"/>
        </w:rPr>
        <w:t xml:space="preserve">For general health system resources, we assumed </w:t>
      </w:r>
      <w:r w:rsidR="003F2A51" w:rsidRPr="00E85FB5">
        <w:rPr>
          <w:rFonts w:cstheme="minorHAnsi"/>
          <w:lang w:val="en-US"/>
        </w:rPr>
        <w:t>that</w:t>
      </w:r>
      <w:r w:rsidRPr="00E85FB5">
        <w:rPr>
          <w:rFonts w:cstheme="minorHAnsi"/>
          <w:lang w:val="en-US"/>
        </w:rPr>
        <w:t xml:space="preserve"> 12 % of the total number of hospital beds, ventilators</w:t>
      </w:r>
      <w:r w:rsidR="001A3178" w:rsidRPr="00E85FB5">
        <w:rPr>
          <w:rFonts w:cstheme="minorHAnsi"/>
          <w:lang w:val="en-US"/>
        </w:rPr>
        <w:t>,</w:t>
      </w:r>
      <w:r w:rsidRPr="00E85FB5">
        <w:rPr>
          <w:rFonts w:cstheme="minorHAnsi"/>
          <w:lang w:val="en-US"/>
        </w:rPr>
        <w:t xml:space="preserve"> doctors</w:t>
      </w:r>
      <w:r w:rsidR="003F2A51" w:rsidRPr="00E85FB5">
        <w:rPr>
          <w:rFonts w:cstheme="minorHAnsi"/>
          <w:lang w:val="en-US"/>
        </w:rPr>
        <w:t xml:space="preserve"> </w:t>
      </w:r>
      <w:r w:rsidRPr="00E85FB5">
        <w:rPr>
          <w:rFonts w:cstheme="minorHAnsi"/>
          <w:lang w:val="en-US"/>
        </w:rPr>
        <w:t>and nurses</w:t>
      </w:r>
      <w:r w:rsidR="00344011" w:rsidRPr="00E85FB5">
        <w:rPr>
          <w:rFonts w:cstheme="minorHAnsi"/>
          <w:lang w:val="en-US"/>
        </w:rPr>
        <w:t>, as</w:t>
      </w:r>
      <w:r w:rsidRPr="00E85FB5">
        <w:rPr>
          <w:rFonts w:cstheme="minorHAnsi"/>
          <w:lang w:val="en-US"/>
        </w:rPr>
        <w:t xml:space="preserve"> </w:t>
      </w:r>
      <w:r w:rsidR="003F2A51" w:rsidRPr="00E85FB5">
        <w:rPr>
          <w:rFonts w:cstheme="minorHAnsi"/>
          <w:lang w:val="en-US"/>
        </w:rPr>
        <w:t>recorded from the resource survey data</w:t>
      </w:r>
      <w:r w:rsidR="00344011" w:rsidRPr="00E85FB5">
        <w:rPr>
          <w:rFonts w:cstheme="minorHAnsi"/>
          <w:lang w:val="en-US"/>
        </w:rPr>
        <w:t>,</w:t>
      </w:r>
      <w:r w:rsidR="003F2A51" w:rsidRPr="00E85FB5">
        <w:rPr>
          <w:rFonts w:cstheme="minorHAnsi"/>
          <w:lang w:val="en-US"/>
        </w:rPr>
        <w:t xml:space="preserve"> would be available</w:t>
      </w:r>
      <w:r w:rsidR="001A3178" w:rsidRPr="00E85FB5">
        <w:rPr>
          <w:rFonts w:cstheme="minorHAnsi"/>
          <w:lang w:val="en-US"/>
        </w:rPr>
        <w:t xml:space="preserve"> to care for pandemic influenza cases</w:t>
      </w:r>
      <w:r w:rsidRPr="00E85FB5">
        <w:rPr>
          <w:rFonts w:cstheme="minorHAnsi"/>
          <w:lang w:val="en-US"/>
        </w:rPr>
        <w:t xml:space="preserve">. </w:t>
      </w:r>
      <w:r w:rsidR="00AA28CC" w:rsidRPr="00E85FB5">
        <w:rPr>
          <w:rFonts w:cstheme="minorHAnsi"/>
          <w:lang w:val="en-US"/>
        </w:rPr>
        <w:t xml:space="preserve">Therefore, the number of available beds and ventilators at time </w:t>
      </w:r>
      <w:r w:rsidR="00222BA0" w:rsidRPr="00E85FB5">
        <w:rPr>
          <w:rFonts w:cstheme="minorHAnsi"/>
          <w:i/>
          <w:lang w:val="en-US"/>
        </w:rPr>
        <w:t>t</w:t>
      </w:r>
      <w:r w:rsidR="00222BA0" w:rsidRPr="00E85FB5">
        <w:rPr>
          <w:rFonts w:cstheme="minorHAnsi"/>
          <w:lang w:val="en-US"/>
        </w:rPr>
        <w:t xml:space="preserve"> can be defined as:</w:t>
      </w:r>
    </w:p>
    <w:p w:rsidR="00477A44" w:rsidRPr="00E85FB5" w:rsidRDefault="003150C4" w:rsidP="00330433">
      <w:pPr>
        <w:rPr>
          <w:rFonts w:cstheme="minorHAnsi"/>
          <w:position w:val="-44"/>
          <w:lang w:val="en-US"/>
        </w:rPr>
      </w:pPr>
      <w:r w:rsidRPr="00E85FB5">
        <w:rPr>
          <w:rFonts w:cstheme="minorHAnsi"/>
          <w:position w:val="-12"/>
          <w:lang w:val="en-US"/>
        </w:rPr>
        <w:object w:dxaOrig="4540" w:dyaOrig="360">
          <v:shape id="_x0000_i1042" type="#_x0000_t75" style="width:222.75pt;height:18pt" o:ole="">
            <v:imagedata r:id="rId38" o:title=""/>
          </v:shape>
          <o:OLEObject Type="Embed" ProgID="Equation.3" ShapeID="_x0000_i1042" DrawAspect="Content" ObjectID="_1364811523" r:id="rId39"/>
        </w:object>
      </w:r>
    </w:p>
    <w:p w:rsidR="00477A44" w:rsidRPr="00E85FB5" w:rsidRDefault="003150C4" w:rsidP="00330433">
      <w:pPr>
        <w:rPr>
          <w:rFonts w:cstheme="minorHAnsi"/>
          <w:lang w:val="en-US"/>
        </w:rPr>
      </w:pPr>
      <w:r w:rsidRPr="00E85FB5">
        <w:rPr>
          <w:rFonts w:cstheme="minorHAnsi"/>
          <w:position w:val="-12"/>
          <w:lang w:val="en-US"/>
        </w:rPr>
        <w:object w:dxaOrig="5100" w:dyaOrig="360">
          <v:shape id="_x0000_i1043" type="#_x0000_t75" style="width:250.5pt;height:18pt" o:ole="">
            <v:imagedata r:id="rId40" o:title=""/>
          </v:shape>
          <o:OLEObject Type="Embed" ProgID="Equation.3" ShapeID="_x0000_i1043" DrawAspect="Content" ObjectID="_1364811524" r:id="rId41"/>
        </w:object>
      </w:r>
    </w:p>
    <w:p w:rsidR="002276C0" w:rsidRPr="00E85FB5" w:rsidRDefault="001A3178" w:rsidP="00330433">
      <w:pPr>
        <w:rPr>
          <w:rFonts w:cstheme="minorHAnsi"/>
        </w:rPr>
      </w:pPr>
      <w:r w:rsidRPr="00E85FB5">
        <w:rPr>
          <w:rFonts w:cstheme="minorHAnsi"/>
        </w:rPr>
        <w:t>The overall</w:t>
      </w:r>
      <w:r w:rsidR="00F279EB" w:rsidRPr="00E85FB5">
        <w:rPr>
          <w:rFonts w:cstheme="minorHAnsi"/>
        </w:rPr>
        <w:t xml:space="preserve"> number</w:t>
      </w:r>
      <w:r w:rsidRPr="00E85FB5">
        <w:rPr>
          <w:rFonts w:cstheme="minorHAnsi"/>
        </w:rPr>
        <w:t>s</w:t>
      </w:r>
      <w:r w:rsidR="00F279EB" w:rsidRPr="00E85FB5">
        <w:rPr>
          <w:rFonts w:cstheme="minorHAnsi"/>
        </w:rPr>
        <w:t xml:space="preserve"> of beds and ventilators needed were calculated from the peak number of hospitalised and ventilated cases</w:t>
      </w:r>
      <w:r w:rsidR="003150C4" w:rsidRPr="00E85FB5">
        <w:rPr>
          <w:rFonts w:cstheme="minorHAnsi"/>
        </w:rPr>
        <w:t>, respectively,</w:t>
      </w:r>
      <w:r w:rsidR="00F279EB" w:rsidRPr="00E85FB5">
        <w:rPr>
          <w:rFonts w:cstheme="minorHAnsi"/>
        </w:rPr>
        <w:t xml:space="preserve"> predicted </w:t>
      </w:r>
      <w:r w:rsidRPr="00E85FB5">
        <w:rPr>
          <w:rFonts w:cstheme="minorHAnsi"/>
        </w:rPr>
        <w:t>from a simulation</w:t>
      </w:r>
      <w:r w:rsidR="00F279EB" w:rsidRPr="00E85FB5">
        <w:rPr>
          <w:rFonts w:cstheme="minorHAnsi"/>
        </w:rPr>
        <w:t xml:space="preserve"> </w:t>
      </w:r>
      <w:r w:rsidRPr="00E85FB5">
        <w:rPr>
          <w:rFonts w:cstheme="minorHAnsi"/>
        </w:rPr>
        <w:t xml:space="preserve">of the model </w:t>
      </w:r>
      <w:r w:rsidR="00F279EB" w:rsidRPr="00E85FB5">
        <w:rPr>
          <w:rFonts w:cstheme="minorHAnsi"/>
        </w:rPr>
        <w:t>with unlimited resources.</w:t>
      </w:r>
      <w:r w:rsidRPr="00E85FB5">
        <w:rPr>
          <w:rFonts w:cstheme="minorHAnsi"/>
        </w:rPr>
        <w:t xml:space="preserve"> The peak number of hospitalised cases from this simulation was also used to estimate the needed number of doctors and nurses. For this, we assumed that the healthcare workforce was divided into two </w:t>
      </w:r>
      <w:r w:rsidR="00AA28CC" w:rsidRPr="00E85FB5">
        <w:rPr>
          <w:rFonts w:cstheme="minorHAnsi"/>
        </w:rPr>
        <w:t xml:space="preserve">day shifts and one night shift. During </w:t>
      </w:r>
      <w:r w:rsidRPr="00E85FB5">
        <w:rPr>
          <w:rFonts w:cstheme="minorHAnsi"/>
        </w:rPr>
        <w:t xml:space="preserve">a </w:t>
      </w:r>
      <w:r w:rsidR="00AA28CC" w:rsidRPr="00E85FB5">
        <w:rPr>
          <w:rFonts w:cstheme="minorHAnsi"/>
        </w:rPr>
        <w:t xml:space="preserve">day and night shift, </w:t>
      </w:r>
      <w:r w:rsidRPr="00E85FB5">
        <w:rPr>
          <w:rFonts w:cstheme="minorHAnsi"/>
        </w:rPr>
        <w:t>we assumed that one</w:t>
      </w:r>
      <w:r w:rsidR="00AA28CC" w:rsidRPr="00E85FB5">
        <w:rPr>
          <w:rFonts w:cstheme="minorHAnsi"/>
        </w:rPr>
        <w:t xml:space="preserve"> nurse can care for </w:t>
      </w:r>
      <w:r w:rsidRPr="00E85FB5">
        <w:rPr>
          <w:rFonts w:cstheme="minorHAnsi"/>
        </w:rPr>
        <w:t xml:space="preserve">up to </w:t>
      </w:r>
      <w:r w:rsidR="00AA28CC" w:rsidRPr="00E85FB5">
        <w:rPr>
          <w:rFonts w:cstheme="minorHAnsi"/>
        </w:rPr>
        <w:t>five and ten cases, and one physician can care for ten and 40 cases, respectively.</w:t>
      </w:r>
    </w:p>
    <w:p w:rsidR="00F939D1" w:rsidRPr="00E85FB5" w:rsidRDefault="00F939D1" w:rsidP="00330433">
      <w:pPr>
        <w:rPr>
          <w:rFonts w:cstheme="minorHAnsi"/>
        </w:rPr>
      </w:pPr>
    </w:p>
    <w:p w:rsidR="002276C0" w:rsidRPr="00E85FB5" w:rsidRDefault="002276C0" w:rsidP="002276C0">
      <w:pPr>
        <w:spacing w:line="480" w:lineRule="auto"/>
        <w:rPr>
          <w:rFonts w:cstheme="minorHAnsi"/>
          <w:b/>
        </w:rPr>
      </w:pPr>
      <w:r w:rsidRPr="00E85FB5">
        <w:rPr>
          <w:rFonts w:cstheme="minorHAnsi"/>
          <w:b/>
        </w:rPr>
        <w:t>References</w:t>
      </w:r>
    </w:p>
    <w:p w:rsidR="00330433" w:rsidRPr="00E85FB5" w:rsidRDefault="002F3538" w:rsidP="004F32F5">
      <w:pPr>
        <w:pStyle w:val="Refrences"/>
        <w:spacing w:after="0"/>
        <w:ind w:left="720" w:hanging="720"/>
        <w:rPr>
          <w:rFonts w:asciiTheme="minorHAnsi" w:hAnsiTheme="minorHAnsi" w:cstheme="minorHAnsi"/>
          <w:noProof/>
          <w:szCs w:val="22"/>
        </w:rPr>
      </w:pPr>
      <w:r w:rsidRPr="00E85FB5">
        <w:rPr>
          <w:rFonts w:asciiTheme="minorHAnsi" w:hAnsiTheme="minorHAnsi" w:cstheme="minorHAnsi"/>
          <w:sz w:val="22"/>
          <w:szCs w:val="22"/>
        </w:rPr>
        <w:fldChar w:fldCharType="begin"/>
      </w:r>
      <w:r w:rsidR="002276C0" w:rsidRPr="00E85FB5">
        <w:rPr>
          <w:rFonts w:asciiTheme="minorHAnsi" w:hAnsiTheme="minorHAnsi" w:cstheme="minorHAnsi"/>
          <w:sz w:val="22"/>
          <w:szCs w:val="22"/>
        </w:rPr>
        <w:instrText xml:space="preserve"> ADDIN EN.REFLIST </w:instrText>
      </w:r>
      <w:r w:rsidRPr="00E85FB5">
        <w:rPr>
          <w:rFonts w:asciiTheme="minorHAnsi" w:hAnsiTheme="minorHAnsi" w:cstheme="minorHAnsi"/>
          <w:sz w:val="22"/>
          <w:szCs w:val="22"/>
        </w:rPr>
        <w:fldChar w:fldCharType="separate"/>
      </w:r>
      <w:r w:rsidR="00330433" w:rsidRPr="00E85FB5">
        <w:rPr>
          <w:rFonts w:asciiTheme="minorHAnsi" w:hAnsiTheme="minorHAnsi" w:cstheme="minorHAnsi"/>
          <w:noProof/>
          <w:szCs w:val="22"/>
        </w:rPr>
        <w:t>1. Krumkamp R, Kretzschmar M, Rudge JW, Ahmad A, Hanvoravongchai P, et al. (2011) Health service resource needs for pandemic influenza in developing countries: a linked transmission dynamics, interventions and resource demand model. Epidemiology and Infection 139: 59-67.</w:t>
      </w:r>
    </w:p>
    <w:p w:rsidR="002276C0" w:rsidRPr="00E85FB5" w:rsidRDefault="002F3538" w:rsidP="00F939D1">
      <w:pPr>
        <w:pStyle w:val="Refrences"/>
        <w:spacing w:after="0" w:line="480" w:lineRule="auto"/>
        <w:ind w:left="720" w:hanging="720"/>
        <w:rPr>
          <w:rFonts w:asciiTheme="minorHAnsi" w:hAnsiTheme="minorHAnsi" w:cstheme="minorHAnsi"/>
          <w:sz w:val="22"/>
          <w:szCs w:val="22"/>
        </w:rPr>
      </w:pPr>
      <w:r w:rsidRPr="00E85FB5">
        <w:rPr>
          <w:rFonts w:asciiTheme="minorHAnsi" w:hAnsiTheme="minorHAnsi" w:cstheme="minorHAnsi"/>
          <w:sz w:val="22"/>
          <w:szCs w:val="22"/>
        </w:rPr>
        <w:fldChar w:fldCharType="end"/>
      </w:r>
    </w:p>
    <w:sectPr w:rsidR="002276C0" w:rsidRPr="00E85FB5" w:rsidSect="006F08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EN.InstantFormat" w:val="&lt;ENInstantFormat&gt;&lt;Enabled&gt;1&lt;/Enabled&gt;&lt;ScanUnformatted&gt;1&lt;/ScanUnformatted&gt;&lt;ScanChanges&gt;1&lt;/ScanChanges&gt;&lt;/ENInstantFormat&gt;"/>
    <w:docVar w:name="EN.Layout" w:val="&lt;ENLayout&gt;&lt;Style&gt;PLo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FLU.enl&lt;/item&gt;&lt;/Libraries&gt;&lt;/ENLibraries&gt;"/>
  </w:docVars>
  <w:rsids>
    <w:rsidRoot w:val="002276C0"/>
    <w:rsid w:val="00013C47"/>
    <w:rsid w:val="000E0F05"/>
    <w:rsid w:val="000F3E80"/>
    <w:rsid w:val="00102C0B"/>
    <w:rsid w:val="00126C1D"/>
    <w:rsid w:val="00155310"/>
    <w:rsid w:val="001743AD"/>
    <w:rsid w:val="001A3178"/>
    <w:rsid w:val="001B7C38"/>
    <w:rsid w:val="001D67A3"/>
    <w:rsid w:val="001D7725"/>
    <w:rsid w:val="00203945"/>
    <w:rsid w:val="00222BA0"/>
    <w:rsid w:val="002276C0"/>
    <w:rsid w:val="0026134C"/>
    <w:rsid w:val="002D7844"/>
    <w:rsid w:val="002F3538"/>
    <w:rsid w:val="003150C4"/>
    <w:rsid w:val="00322880"/>
    <w:rsid w:val="00330433"/>
    <w:rsid w:val="00344011"/>
    <w:rsid w:val="003622D1"/>
    <w:rsid w:val="0036682F"/>
    <w:rsid w:val="003907CC"/>
    <w:rsid w:val="003B3B7D"/>
    <w:rsid w:val="003F2A51"/>
    <w:rsid w:val="00472AD5"/>
    <w:rsid w:val="00477A44"/>
    <w:rsid w:val="004819E8"/>
    <w:rsid w:val="004A261A"/>
    <w:rsid w:val="004F32F5"/>
    <w:rsid w:val="00512070"/>
    <w:rsid w:val="00556AF6"/>
    <w:rsid w:val="0062359E"/>
    <w:rsid w:val="006745FF"/>
    <w:rsid w:val="00686EF2"/>
    <w:rsid w:val="00696182"/>
    <w:rsid w:val="006B2C01"/>
    <w:rsid w:val="006D6806"/>
    <w:rsid w:val="006F08B8"/>
    <w:rsid w:val="00700C9E"/>
    <w:rsid w:val="007053C0"/>
    <w:rsid w:val="00705413"/>
    <w:rsid w:val="00791713"/>
    <w:rsid w:val="00855AF4"/>
    <w:rsid w:val="008734DF"/>
    <w:rsid w:val="008874B3"/>
    <w:rsid w:val="008D7120"/>
    <w:rsid w:val="00941FD8"/>
    <w:rsid w:val="00942F92"/>
    <w:rsid w:val="00994642"/>
    <w:rsid w:val="009A1EC6"/>
    <w:rsid w:val="00A24966"/>
    <w:rsid w:val="00A267C5"/>
    <w:rsid w:val="00A53EEE"/>
    <w:rsid w:val="00A80DA2"/>
    <w:rsid w:val="00AA28CC"/>
    <w:rsid w:val="00AF1CCF"/>
    <w:rsid w:val="00B21F57"/>
    <w:rsid w:val="00B30530"/>
    <w:rsid w:val="00B554D0"/>
    <w:rsid w:val="00B873BD"/>
    <w:rsid w:val="00B9101E"/>
    <w:rsid w:val="00BB6831"/>
    <w:rsid w:val="00BD7A8F"/>
    <w:rsid w:val="00BE15E1"/>
    <w:rsid w:val="00C270CC"/>
    <w:rsid w:val="00C516E8"/>
    <w:rsid w:val="00C70568"/>
    <w:rsid w:val="00C8213C"/>
    <w:rsid w:val="00CA2585"/>
    <w:rsid w:val="00CA69A0"/>
    <w:rsid w:val="00D35605"/>
    <w:rsid w:val="00D54E24"/>
    <w:rsid w:val="00D6756E"/>
    <w:rsid w:val="00DF4DEA"/>
    <w:rsid w:val="00E425A8"/>
    <w:rsid w:val="00E506AF"/>
    <w:rsid w:val="00E84547"/>
    <w:rsid w:val="00E85FB5"/>
    <w:rsid w:val="00EB3E71"/>
    <w:rsid w:val="00EC1945"/>
    <w:rsid w:val="00F279EB"/>
    <w:rsid w:val="00F939D1"/>
    <w:rsid w:val="00F96923"/>
    <w:rsid w:val="00FC04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8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rences">
    <w:name w:val="Refrences"/>
    <w:basedOn w:val="Normal"/>
    <w:rsid w:val="002276C0"/>
    <w:pPr>
      <w:spacing w:after="120" w:line="240" w:lineRule="auto"/>
      <w:ind w:left="709" w:hanging="709"/>
    </w:pPr>
    <w:rPr>
      <w:rFonts w:ascii="Times New Roman" w:eastAsia="Times New Roman" w:hAnsi="Times New Roman" w:cs="Times New Roman"/>
      <w:sz w:val="24"/>
      <w:szCs w:val="24"/>
      <w:lang w:eastAsia="de-DE"/>
    </w:rPr>
  </w:style>
  <w:style w:type="character" w:styleId="CommentReference">
    <w:name w:val="annotation reference"/>
    <w:basedOn w:val="DefaultParagraphFont"/>
    <w:uiPriority w:val="99"/>
    <w:semiHidden/>
    <w:rsid w:val="002276C0"/>
    <w:rPr>
      <w:sz w:val="16"/>
      <w:szCs w:val="16"/>
    </w:rPr>
  </w:style>
  <w:style w:type="paragraph" w:styleId="CommentText">
    <w:name w:val="annotation text"/>
    <w:basedOn w:val="Normal"/>
    <w:link w:val="CommentTextChar"/>
    <w:uiPriority w:val="99"/>
    <w:semiHidden/>
    <w:rsid w:val="002276C0"/>
    <w:pPr>
      <w:spacing w:after="0" w:line="240" w:lineRule="auto"/>
    </w:pPr>
    <w:rPr>
      <w:rFonts w:ascii="Times New Roman" w:eastAsia="Times New Roman" w:hAnsi="Times New Roman" w:cs="Times New Roman"/>
      <w:sz w:val="20"/>
      <w:szCs w:val="20"/>
      <w:lang w:val="de-DE" w:eastAsia="de-DE"/>
    </w:rPr>
  </w:style>
  <w:style w:type="character" w:customStyle="1" w:styleId="CommentTextChar">
    <w:name w:val="Comment Text Char"/>
    <w:basedOn w:val="DefaultParagraphFont"/>
    <w:link w:val="CommentText"/>
    <w:uiPriority w:val="99"/>
    <w:semiHidden/>
    <w:rsid w:val="002276C0"/>
    <w:rPr>
      <w:rFonts w:ascii="Times New Roman" w:eastAsia="Times New Roman" w:hAnsi="Times New Roman" w:cs="Times New Roman"/>
      <w:sz w:val="20"/>
      <w:szCs w:val="20"/>
      <w:lang w:val="de-DE" w:eastAsia="de-DE"/>
    </w:rPr>
  </w:style>
  <w:style w:type="paragraph" w:styleId="BalloonText">
    <w:name w:val="Balloon Text"/>
    <w:basedOn w:val="Normal"/>
    <w:link w:val="BalloonTextChar"/>
    <w:uiPriority w:val="99"/>
    <w:semiHidden/>
    <w:unhideWhenUsed/>
    <w:rsid w:val="00227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6C0"/>
    <w:rPr>
      <w:rFonts w:ascii="Tahoma" w:hAnsi="Tahoma" w:cs="Tahoma"/>
      <w:sz w:val="16"/>
      <w:szCs w:val="16"/>
    </w:rPr>
  </w:style>
  <w:style w:type="character" w:styleId="PlaceholderText">
    <w:name w:val="Placeholder Text"/>
    <w:basedOn w:val="DefaultParagraphFont"/>
    <w:uiPriority w:val="99"/>
    <w:semiHidden/>
    <w:rsid w:val="00477A44"/>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8.bin"/><Relationship Id="rId3" Type="http://schemas.openxmlformats.org/officeDocument/2006/relationships/webSettings" Target="webSettings.xml"/><Relationship Id="rId21" Type="http://schemas.openxmlformats.org/officeDocument/2006/relationships/oleObject" Target="embeddings/oleObject9.bin"/><Relationship Id="rId34" Type="http://schemas.openxmlformats.org/officeDocument/2006/relationships/image" Target="media/image16.wmf"/><Relationship Id="rId42" Type="http://schemas.openxmlformats.org/officeDocument/2006/relationships/fontTable" Target="fontTable.xml"/><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8.wmf"/><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3.bin"/><Relationship Id="rId41" Type="http://schemas.openxmlformats.org/officeDocument/2006/relationships/oleObject" Target="embeddings/oleObject19.bin"/><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7.bin"/><Relationship Id="rId40" Type="http://schemas.openxmlformats.org/officeDocument/2006/relationships/image" Target="media/image19.wmf"/><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3.wmf"/><Relationship Id="rId36" Type="http://schemas.openxmlformats.org/officeDocument/2006/relationships/image" Target="media/image17.wmf"/><Relationship Id="rId10" Type="http://schemas.openxmlformats.org/officeDocument/2006/relationships/image" Target="media/image4.wmf"/><Relationship Id="rId19" Type="http://schemas.openxmlformats.org/officeDocument/2006/relationships/oleObject" Target="embeddings/oleObject8.bin"/><Relationship Id="rId31" Type="http://schemas.openxmlformats.org/officeDocument/2006/relationships/oleObject" Target="embeddings/oleObject14.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2.bin"/><Relationship Id="rId30" Type="http://schemas.openxmlformats.org/officeDocument/2006/relationships/image" Target="media/image14.wmf"/><Relationship Id="rId35" Type="http://schemas.openxmlformats.org/officeDocument/2006/relationships/oleObject" Target="embeddings/oleObject16.bin"/><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3</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7612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Rudge</dc:creator>
  <cp:lastModifiedBy>James</cp:lastModifiedBy>
  <cp:revision>9</cp:revision>
  <dcterms:created xsi:type="dcterms:W3CDTF">2011-02-23T09:19:00Z</dcterms:created>
  <dcterms:modified xsi:type="dcterms:W3CDTF">2011-04-20T06:31:00Z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American Psychological Association</vt:lpwstr>
  </property>
</Properties>
</file>