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EF" w:rsidRDefault="00AD26EF" w:rsidP="00AD26EF">
      <w:pPr>
        <w:rPr>
          <w:i/>
        </w:rPr>
      </w:pPr>
    </w:p>
    <w:p w:rsidR="00AD26EF" w:rsidRDefault="00AD26EF" w:rsidP="00AD26EF">
      <w:r>
        <w:rPr>
          <w:b/>
        </w:rPr>
        <w:t>Table S5: Evaluation of fitting models</w:t>
      </w:r>
      <w:r>
        <w:t>. Higher R-squared values for each network are in bold.</w:t>
      </w:r>
    </w:p>
    <w:tbl>
      <w:tblPr>
        <w:tblW w:w="9121" w:type="dxa"/>
        <w:tblInd w:w="94" w:type="dxa"/>
        <w:tblLook w:val="04A0" w:firstRow="1" w:lastRow="0" w:firstColumn="1" w:lastColumn="0" w:noHBand="0" w:noVBand="1"/>
      </w:tblPr>
      <w:tblGrid>
        <w:gridCol w:w="2089"/>
        <w:gridCol w:w="991"/>
        <w:gridCol w:w="995"/>
        <w:gridCol w:w="1147"/>
        <w:gridCol w:w="1605"/>
        <w:gridCol w:w="1147"/>
        <w:gridCol w:w="1147"/>
      </w:tblGrid>
      <w:tr w:rsidR="00AD26EF" w:rsidTr="00A073B9">
        <w:trPr>
          <w:trHeight w:val="144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Controllers per target (incoming)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Exponential fit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Scale-free fit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Network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slope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R squared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Network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slope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R squared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Human </w:t>
            </w:r>
            <w:proofErr w:type="spellStart"/>
            <w:r>
              <w:rPr>
                <w:rFonts w:ascii="Cambria" w:hAnsi="Cambria"/>
                <w:color w:val="000000"/>
              </w:rPr>
              <w:t>miRNA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0.964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Human </w:t>
            </w:r>
            <w:proofErr w:type="spellStart"/>
            <w:r>
              <w:rPr>
                <w:rFonts w:ascii="Cambria" w:hAnsi="Cambria"/>
                <w:color w:val="000000"/>
              </w:rPr>
              <w:t>miRNA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0.92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0.881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Human TF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10.1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0.967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Human TF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0.88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0.867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E. coli TF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9.2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0.953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E. coli TF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1.49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0.91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Yeast TF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10.4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0.997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Yeast TF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0.753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Human Kinase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3.9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0.916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Human Kinase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1.37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0.939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Yeast Kinase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3.6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0.92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Yeast Kinase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0.958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AD26EF" w:rsidTr="00A073B9">
        <w:trPr>
          <w:trHeight w:val="153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  <w:sz w:val="24"/>
              </w:rPr>
            </w:pPr>
            <w:r>
              <w:rPr>
                <w:rFonts w:ascii="Cambria" w:hAnsi="Cambria"/>
                <w:color w:val="000000"/>
                <w:sz w:val="24"/>
              </w:rPr>
              <w:t>Targets per control (outgoing)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Exponential fit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Scale-free fit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Network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slope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R squared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Network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slope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i/>
                <w:color w:val="000000"/>
              </w:rPr>
            </w:pPr>
            <w:r>
              <w:rPr>
                <w:rFonts w:ascii="Cambria" w:hAnsi="Cambria"/>
                <w:i/>
                <w:color w:val="000000"/>
              </w:rPr>
              <w:t>R squared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Human </w:t>
            </w:r>
            <w:proofErr w:type="spellStart"/>
            <w:r>
              <w:rPr>
                <w:rFonts w:ascii="Cambria" w:hAnsi="Cambria"/>
                <w:color w:val="000000"/>
              </w:rPr>
              <w:t>miRNA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0.0047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0.964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Human </w:t>
            </w:r>
            <w:proofErr w:type="spellStart"/>
            <w:r>
              <w:rPr>
                <w:rFonts w:ascii="Cambria" w:hAnsi="Cambria"/>
                <w:color w:val="000000"/>
              </w:rPr>
              <w:t>miRNA</w:t>
            </w:r>
            <w:proofErr w:type="spellEnd"/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0.62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0.579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Human TF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0.028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0.74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Human TF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1.18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0.567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E. coli TF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0.028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0.697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E. coli TF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0.77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0.928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Yeast TF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0.0059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0.948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Yeast TF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0.47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0.6055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Human Kinase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0.837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Human Kinase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0.78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0.911</w:t>
            </w:r>
          </w:p>
        </w:tc>
      </w:tr>
      <w:tr w:rsidR="00AD26EF" w:rsidTr="00A073B9">
        <w:trPr>
          <w:trHeight w:val="29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Yeast Kinase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0.015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0.9646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Yeast Kinase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0.65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D26EF" w:rsidRDefault="00AD26EF" w:rsidP="00A073B9">
            <w:pPr>
              <w:spacing w:after="0" w:line="240" w:lineRule="auto"/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0.758</w:t>
            </w:r>
          </w:p>
        </w:tc>
      </w:tr>
    </w:tbl>
    <w:p w:rsidR="00AD26EF" w:rsidRDefault="00AD26EF" w:rsidP="00AD26EF">
      <w:pPr>
        <w:pStyle w:val="Heading3"/>
        <w:spacing w:after="240"/>
      </w:pPr>
    </w:p>
    <w:p w:rsidR="00ED4EF8" w:rsidRDefault="00ED4EF8">
      <w:bookmarkStart w:id="0" w:name="_GoBack"/>
      <w:bookmarkEnd w:id="0"/>
    </w:p>
    <w:sectPr w:rsidR="00ED4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EF"/>
    <w:rsid w:val="00857574"/>
    <w:rsid w:val="009B5077"/>
    <w:rsid w:val="00AD26EF"/>
    <w:rsid w:val="00E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EF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MS Mincho"/>
      <w:lang w:bidi="en-US"/>
    </w:rPr>
  </w:style>
  <w:style w:type="paragraph" w:styleId="Heading3">
    <w:name w:val="heading 3"/>
    <w:basedOn w:val="Normal"/>
    <w:next w:val="Normal"/>
    <w:link w:val="Heading3Char"/>
    <w:qFormat/>
    <w:rsid w:val="00AD26EF"/>
    <w:pPr>
      <w:spacing w:before="200" w:after="0" w:line="271" w:lineRule="auto"/>
      <w:outlineLvl w:val="2"/>
    </w:pPr>
    <w:rPr>
      <w:rFonts w:ascii="Cambria" w:hAnsi="Cambria" w:cs="Times New Roman"/>
      <w:bCs/>
      <w:i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26EF"/>
    <w:rPr>
      <w:rFonts w:ascii="Cambria" w:eastAsia="Times New Roman" w:hAnsi="Cambria" w:cs="Times New Roman"/>
      <w:bCs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6EF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 w:cs="MS Mincho"/>
      <w:lang w:bidi="en-US"/>
    </w:rPr>
  </w:style>
  <w:style w:type="paragraph" w:styleId="Heading3">
    <w:name w:val="heading 3"/>
    <w:basedOn w:val="Normal"/>
    <w:next w:val="Normal"/>
    <w:link w:val="Heading3Char"/>
    <w:qFormat/>
    <w:rsid w:val="00AD26EF"/>
    <w:pPr>
      <w:spacing w:before="200" w:after="0" w:line="271" w:lineRule="auto"/>
      <w:outlineLvl w:val="2"/>
    </w:pPr>
    <w:rPr>
      <w:rFonts w:ascii="Cambria" w:hAnsi="Cambria" w:cs="Times New Roman"/>
      <w:bCs/>
      <w:i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D26EF"/>
    <w:rPr>
      <w:rFonts w:ascii="Cambria" w:eastAsia="Times New Roman" w:hAnsi="Cambria" w:cs="Times New Roman"/>
      <w:bCs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dcterms:created xsi:type="dcterms:W3CDTF">2011-12-08T03:48:00Z</dcterms:created>
  <dcterms:modified xsi:type="dcterms:W3CDTF">2011-12-08T03:48:00Z</dcterms:modified>
</cp:coreProperties>
</file>