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B2" w:rsidRPr="00BC4AA6" w:rsidRDefault="00D427B2" w:rsidP="00D427B2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C4AA6">
        <w:rPr>
          <w:rFonts w:ascii="Times New Roman" w:hAnsi="Times New Roman"/>
          <w:b/>
          <w:color w:val="000000"/>
          <w:sz w:val="24"/>
          <w:szCs w:val="24"/>
        </w:rPr>
        <w:t xml:space="preserve">Supplementary Table </w:t>
      </w:r>
      <w:r w:rsidR="00A12FCE" w:rsidRPr="00BC4AA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BC4AA6">
        <w:rPr>
          <w:rFonts w:ascii="Times New Roman" w:hAnsi="Times New Roman"/>
          <w:b/>
          <w:color w:val="000000"/>
          <w:sz w:val="24"/>
          <w:szCs w:val="24"/>
        </w:rPr>
        <w:t>3.</w:t>
      </w:r>
      <w:proofErr w:type="gramEnd"/>
      <w:r w:rsidRPr="00BC4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4A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4AA6">
        <w:rPr>
          <w:rFonts w:ascii="Times New Roman" w:hAnsi="Times New Roman"/>
          <w:b/>
          <w:color w:val="000000"/>
          <w:sz w:val="24"/>
          <w:szCs w:val="24"/>
        </w:rPr>
        <w:t xml:space="preserve">Permutation based MANCOVA with stepwise variable selection results for Sanger, 454 V1-V3 and 454 V3-V5 sequencing. </w:t>
      </w:r>
      <w:r w:rsidRPr="00BC4AA6">
        <w:rPr>
          <w:rFonts w:ascii="Times New Roman" w:hAnsi="Times New Roman"/>
          <w:color w:val="000000"/>
          <w:sz w:val="24"/>
          <w:szCs w:val="24"/>
        </w:rPr>
        <w:t xml:space="preserve">Samples with </w:t>
      </w:r>
      <w:proofErr w:type="spellStart"/>
      <w:r w:rsidRPr="00BC4AA6">
        <w:rPr>
          <w:rFonts w:ascii="Times New Roman" w:hAnsi="Times New Roman"/>
          <w:color w:val="000000"/>
          <w:sz w:val="24"/>
          <w:szCs w:val="24"/>
        </w:rPr>
        <w:t>Crohn’s</w:t>
      </w:r>
      <w:proofErr w:type="spellEnd"/>
      <w:r w:rsidRPr="00BC4AA6">
        <w:rPr>
          <w:rFonts w:ascii="Times New Roman" w:hAnsi="Times New Roman"/>
          <w:color w:val="000000"/>
          <w:sz w:val="24"/>
          <w:szCs w:val="24"/>
        </w:rPr>
        <w:t xml:space="preserve"> colitis and indeterminate colitis were excluded in this analysis. The dependent variable was the vector generated by the centered log ratio of the relative </w:t>
      </w:r>
      <w:r w:rsidR="00396C58">
        <w:rPr>
          <w:rFonts w:ascii="Times New Roman" w:hAnsi="Times New Roman"/>
          <w:color w:val="000000"/>
          <w:sz w:val="24"/>
          <w:szCs w:val="24"/>
        </w:rPr>
        <w:t>frequencies</w:t>
      </w:r>
      <w:r w:rsidRPr="00BC4AA6">
        <w:rPr>
          <w:rFonts w:ascii="Times New Roman" w:hAnsi="Times New Roman"/>
          <w:color w:val="000000"/>
          <w:sz w:val="24"/>
          <w:szCs w:val="24"/>
        </w:rPr>
        <w:t xml:space="preserve"> of six phyla/subphyla categories (see text). The significant main effects and first order interactions selected by analysis of each of the three data sets as well as the R</w:t>
      </w:r>
      <w:r w:rsidRPr="00BC4AA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C4AA6">
        <w:rPr>
          <w:rFonts w:ascii="Times New Roman" w:hAnsi="Times New Roman"/>
          <w:color w:val="000000"/>
          <w:sz w:val="24"/>
          <w:szCs w:val="24"/>
        </w:rPr>
        <w:t xml:space="preserve">, P values are listed below. </w:t>
      </w:r>
      <w:r w:rsidRPr="00BC4AA6">
        <w:rPr>
          <w:rFonts w:ascii="Times New Roman" w:hAnsi="Times New Roman"/>
          <w:sz w:val="24"/>
          <w:szCs w:val="24"/>
        </w:rPr>
        <w:t xml:space="preserve">To address multiple comparison issues, the </w:t>
      </w:r>
      <w:proofErr w:type="spellStart"/>
      <w:r w:rsidRPr="00BC4AA6">
        <w:rPr>
          <w:rFonts w:ascii="Times New Roman" w:hAnsi="Times New Roman"/>
          <w:sz w:val="24"/>
          <w:szCs w:val="24"/>
        </w:rPr>
        <w:t>Benjamini</w:t>
      </w:r>
      <w:proofErr w:type="spellEnd"/>
      <w:r w:rsidRPr="00BC4AA6">
        <w:rPr>
          <w:rFonts w:ascii="Times New Roman" w:hAnsi="Times New Roman"/>
          <w:sz w:val="24"/>
          <w:szCs w:val="24"/>
        </w:rPr>
        <w:t>-Hochberg method was applied to adjust P-values to the false discovery rate (FDR).</w:t>
      </w:r>
      <w:r w:rsidRPr="00BC4AA6">
        <w:rPr>
          <w:rFonts w:ascii="Times New Roman" w:hAnsi="Times New Roman"/>
          <w:color w:val="000000"/>
          <w:sz w:val="24"/>
          <w:szCs w:val="24"/>
        </w:rPr>
        <w:t xml:space="preserve"> The number of samples (around 150 samples) that yielded results suitable for analysis is listed for each method.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4133"/>
        <w:gridCol w:w="1260"/>
        <w:gridCol w:w="1170"/>
        <w:gridCol w:w="1098"/>
      </w:tblGrid>
      <w:tr w:rsidR="00D427B2" w:rsidRPr="00BC4AA6" w:rsidTr="00112356">
        <w:tc>
          <w:tcPr>
            <w:tcW w:w="1915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Sanger</w:t>
            </w: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4A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 = 155</w:t>
            </w: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D427B2" w:rsidRPr="00BC4AA6" w:rsidTr="00112356">
        <w:tc>
          <w:tcPr>
            <w:tcW w:w="1915" w:type="dxa"/>
            <w:vMerge w:val="restart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D427B2" w:rsidRPr="00BC4AA6" w:rsidTr="00112356">
        <w:tc>
          <w:tcPr>
            <w:tcW w:w="1915" w:type="dxa"/>
            <w:vMerge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BC4A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  <w:r w:rsidRPr="00BC4A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</w:tr>
      <w:tr w:rsidR="00D427B2" w:rsidRPr="00BC4AA6" w:rsidTr="00112356">
        <w:trPr>
          <w:trHeight w:val="135"/>
        </w:trPr>
        <w:tc>
          <w:tcPr>
            <w:tcW w:w="1915" w:type="dxa"/>
            <w:vMerge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</w:tr>
      <w:tr w:rsidR="00D427B2" w:rsidRPr="00BC4AA6" w:rsidTr="00112356">
        <w:trPr>
          <w:trHeight w:val="135"/>
        </w:trPr>
        <w:tc>
          <w:tcPr>
            <w:tcW w:w="1915" w:type="dxa"/>
            <w:vMerge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</w:tr>
      <w:tr w:rsidR="00D427B2" w:rsidRPr="00BC4AA6" w:rsidTr="00112356">
        <w:trPr>
          <w:trHeight w:val="305"/>
        </w:trPr>
        <w:tc>
          <w:tcPr>
            <w:tcW w:w="1915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Disease phenotype * Age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</w:tr>
      <w:tr w:rsidR="00D427B2" w:rsidRPr="00BC4AA6" w:rsidTr="00112356">
        <w:trPr>
          <w:trHeight w:val="20"/>
        </w:trPr>
        <w:tc>
          <w:tcPr>
            <w:tcW w:w="9576" w:type="dxa"/>
            <w:gridSpan w:val="5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7B2" w:rsidRPr="00BC4AA6" w:rsidTr="00112356">
        <w:tc>
          <w:tcPr>
            <w:tcW w:w="1915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V1-V3</w:t>
            </w: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4A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 = 153</w:t>
            </w: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D427B2" w:rsidRPr="00BC4AA6" w:rsidTr="00112356">
        <w:tc>
          <w:tcPr>
            <w:tcW w:w="1915" w:type="dxa"/>
            <w:vMerge w:val="restart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D427B2" w:rsidRPr="00BC4AA6" w:rsidTr="00112356">
        <w:tc>
          <w:tcPr>
            <w:tcW w:w="1915" w:type="dxa"/>
            <w:vMerge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Sex 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</w:tr>
      <w:tr w:rsidR="00D427B2" w:rsidRPr="00BC4AA6" w:rsidTr="00112356">
        <w:tc>
          <w:tcPr>
            <w:tcW w:w="1915" w:type="dxa"/>
            <w:vMerge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</w:tr>
      <w:tr w:rsidR="00D427B2" w:rsidRPr="00BC4AA6" w:rsidTr="00112356">
        <w:tc>
          <w:tcPr>
            <w:tcW w:w="1915" w:type="dxa"/>
            <w:vMerge w:val="restart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BMI * 5-ASA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</w:tr>
      <w:tr w:rsidR="00D427B2" w:rsidRPr="00BC4AA6" w:rsidTr="00112356">
        <w:trPr>
          <w:trHeight w:val="260"/>
        </w:trPr>
        <w:tc>
          <w:tcPr>
            <w:tcW w:w="1915" w:type="dxa"/>
            <w:vMerge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Steroids * </w:t>
            </w:r>
            <w:proofErr w:type="spellStart"/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</w:tr>
      <w:tr w:rsidR="00D427B2" w:rsidRPr="00BC4AA6" w:rsidTr="00112356">
        <w:tc>
          <w:tcPr>
            <w:tcW w:w="9576" w:type="dxa"/>
            <w:gridSpan w:val="5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7B2" w:rsidRPr="00BC4AA6" w:rsidTr="00112356">
        <w:tc>
          <w:tcPr>
            <w:tcW w:w="1915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V3-V5</w:t>
            </w: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4A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n=159</w:t>
            </w: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D427B2" w:rsidRPr="00BC4AA6" w:rsidTr="00112356">
        <w:tc>
          <w:tcPr>
            <w:tcW w:w="1915" w:type="dxa"/>
            <w:vMerge w:val="restart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D427B2" w:rsidRPr="00BC4AA6" w:rsidTr="00112356">
        <w:tc>
          <w:tcPr>
            <w:tcW w:w="1915" w:type="dxa"/>
            <w:vMerge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BC4A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  <w:r w:rsidRPr="00BC4A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</w:tr>
      <w:tr w:rsidR="00D427B2" w:rsidRPr="00BC4AA6" w:rsidTr="00112356">
        <w:tc>
          <w:tcPr>
            <w:tcW w:w="1915" w:type="dxa"/>
            <w:vMerge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</w:tr>
      <w:tr w:rsidR="00D427B2" w:rsidRPr="00BC4AA6" w:rsidTr="00112356">
        <w:trPr>
          <w:trHeight w:val="70"/>
        </w:trPr>
        <w:tc>
          <w:tcPr>
            <w:tcW w:w="1915" w:type="dxa"/>
            <w:vMerge w:val="restart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Steroids * </w:t>
            </w:r>
            <w:proofErr w:type="spellStart"/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</w:tr>
      <w:tr w:rsidR="00D427B2" w:rsidRPr="00BC4AA6" w:rsidTr="00112356">
        <w:trPr>
          <w:trHeight w:val="70"/>
        </w:trPr>
        <w:tc>
          <w:tcPr>
            <w:tcW w:w="1915" w:type="dxa"/>
            <w:vMerge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NOD2 * ATG16L1</w:t>
            </w:r>
          </w:p>
        </w:tc>
        <w:tc>
          <w:tcPr>
            <w:tcW w:w="126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170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098" w:type="dxa"/>
          </w:tcPr>
          <w:p w:rsidR="00D427B2" w:rsidRPr="00BC4AA6" w:rsidRDefault="00D427B2" w:rsidP="0011235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AA6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</w:tr>
    </w:tbl>
    <w:p w:rsidR="00D427B2" w:rsidRPr="00BC4AA6" w:rsidRDefault="00D427B2" w:rsidP="00D427B2">
      <w:pPr>
        <w:rPr>
          <w:rFonts w:ascii="Times New Roman" w:hAnsi="Times New Roman"/>
          <w:sz w:val="24"/>
          <w:szCs w:val="24"/>
        </w:rPr>
      </w:pPr>
    </w:p>
    <w:p w:rsidR="00381A83" w:rsidRPr="00BC4AA6" w:rsidRDefault="00381A83">
      <w:pPr>
        <w:rPr>
          <w:rFonts w:ascii="Times New Roman" w:hAnsi="Times New Roman"/>
          <w:sz w:val="24"/>
          <w:szCs w:val="24"/>
        </w:rPr>
      </w:pPr>
    </w:p>
    <w:sectPr w:rsidR="00381A83" w:rsidRPr="00BC4AA6" w:rsidSect="0038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427B2"/>
    <w:rsid w:val="002E1088"/>
    <w:rsid w:val="00381A83"/>
    <w:rsid w:val="00396C58"/>
    <w:rsid w:val="006A2030"/>
    <w:rsid w:val="006D7019"/>
    <w:rsid w:val="00A12FCE"/>
    <w:rsid w:val="00BC4AA6"/>
    <w:rsid w:val="00D4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>Stony Brook University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5</cp:revision>
  <dcterms:created xsi:type="dcterms:W3CDTF">2011-09-27T17:28:00Z</dcterms:created>
  <dcterms:modified xsi:type="dcterms:W3CDTF">2011-09-29T20:48:00Z</dcterms:modified>
</cp:coreProperties>
</file>