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A7" w:rsidRDefault="00EB60A7" w:rsidP="00EB60A7">
      <w:pPr>
        <w:keepNext/>
        <w:spacing w:before="100" w:beforeAutospacing="1" w:after="100" w:afterAutospacing="1"/>
      </w:pPr>
      <w:r>
        <w:rPr>
          <w:b/>
        </w:rPr>
        <w:t>Table S3</w:t>
      </w:r>
      <w:r w:rsidRPr="003A787E">
        <w:rPr>
          <w:b/>
        </w:rPr>
        <w:t xml:space="preserve">. </w:t>
      </w:r>
      <w:r>
        <w:rPr>
          <w:b/>
        </w:rPr>
        <w:t>Sensitivity analysis of pr</w:t>
      </w:r>
      <w:bookmarkStart w:id="0" w:name="_GoBack"/>
      <w:bookmarkEnd w:id="0"/>
      <w:r>
        <w:rPr>
          <w:b/>
        </w:rPr>
        <w:t>ogram cost assumptions</w:t>
      </w:r>
      <w:r w:rsidRPr="008A7664">
        <w:t>. No changes in health impact were assumed.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95"/>
        <w:gridCol w:w="3136"/>
        <w:gridCol w:w="2216"/>
      </w:tblGrid>
      <w:tr w:rsidR="00EB60A7" w:rsidTr="00306647">
        <w:tc>
          <w:tcPr>
            <w:tcW w:w="2215" w:type="dxa"/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</w:p>
        </w:tc>
        <w:tc>
          <w:tcPr>
            <w:tcW w:w="1295" w:type="dxa"/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>
              <w:t>Base-case</w:t>
            </w:r>
          </w:p>
        </w:tc>
        <w:tc>
          <w:tcPr>
            <w:tcW w:w="3136" w:type="dxa"/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 w:rsidRPr="006871FA">
              <w:t>First-line ARV cost decline by 5% per year through 2020 and second-line ARV cost declines 15% per year until 2015</w:t>
            </w:r>
          </w:p>
        </w:tc>
        <w:tc>
          <w:tcPr>
            <w:tcW w:w="2216" w:type="dxa"/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 w:rsidRPr="006871FA">
              <w:t>Viral load monitoring uptake increases transition rate to second-line regimens from 2.6% per year to 6% per year</w:t>
            </w:r>
          </w:p>
        </w:tc>
      </w:tr>
      <w:tr w:rsidR="00EB60A7" w:rsidTr="00306647">
        <w:tc>
          <w:tcPr>
            <w:tcW w:w="2215" w:type="dxa"/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>
              <w:t>Program Cost</w:t>
            </w:r>
          </w:p>
        </w:tc>
        <w:tc>
          <w:tcPr>
            <w:tcW w:w="1295" w:type="dxa"/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>
              <w:t>$14.2B</w:t>
            </w:r>
          </w:p>
        </w:tc>
        <w:tc>
          <w:tcPr>
            <w:tcW w:w="3136" w:type="dxa"/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>
              <w:t>$12.1B</w:t>
            </w:r>
          </w:p>
        </w:tc>
        <w:tc>
          <w:tcPr>
            <w:tcW w:w="2216" w:type="dxa"/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>
              <w:t>$17.7B</w:t>
            </w:r>
          </w:p>
        </w:tc>
      </w:tr>
      <w:tr w:rsidR="00EB60A7" w:rsidTr="00306647">
        <w:tc>
          <w:tcPr>
            <w:tcW w:w="2215" w:type="dxa"/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 w:rsidRPr="00312873">
              <w:rPr>
                <w:color w:val="000000"/>
              </w:rPr>
              <w:t>Labor productivity</w:t>
            </w:r>
          </w:p>
        </w:tc>
        <w:tc>
          <w:tcPr>
            <w:tcW w:w="1295" w:type="dxa"/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>
              <w:t>$31.8B</w:t>
            </w:r>
          </w:p>
        </w:tc>
        <w:tc>
          <w:tcPr>
            <w:tcW w:w="3136" w:type="dxa"/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>
              <w:t>Same (as base-case)</w:t>
            </w:r>
          </w:p>
        </w:tc>
        <w:tc>
          <w:tcPr>
            <w:tcW w:w="2216" w:type="dxa"/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>
              <w:t>Same (as base-case)</w:t>
            </w:r>
          </w:p>
        </w:tc>
      </w:tr>
      <w:tr w:rsidR="00EB60A7" w:rsidTr="00306647">
        <w:tc>
          <w:tcPr>
            <w:tcW w:w="2215" w:type="dxa"/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 w:rsidRPr="00312873">
              <w:rPr>
                <w:color w:val="000000"/>
              </w:rPr>
              <w:t>Orphan care costs averted</w:t>
            </w:r>
          </w:p>
        </w:tc>
        <w:tc>
          <w:tcPr>
            <w:tcW w:w="1295" w:type="dxa"/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 w:rsidRPr="003A787E">
              <w:t>$</w:t>
            </w:r>
            <w:r>
              <w:t>0.83B</w:t>
            </w:r>
          </w:p>
        </w:tc>
        <w:tc>
          <w:tcPr>
            <w:tcW w:w="3136" w:type="dxa"/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>
              <w:t>Same (as base-case)</w:t>
            </w:r>
          </w:p>
        </w:tc>
        <w:tc>
          <w:tcPr>
            <w:tcW w:w="2216" w:type="dxa"/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>
              <w:t>Same (as base-case)</w:t>
            </w:r>
          </w:p>
        </w:tc>
      </w:tr>
      <w:tr w:rsidR="00EB60A7" w:rsidTr="00306647">
        <w:trPr>
          <w:trHeight w:val="971"/>
        </w:trPr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</w:tcPr>
          <w:p w:rsidR="00EB60A7" w:rsidRPr="00312873" w:rsidRDefault="00EB60A7" w:rsidP="00306647">
            <w:pPr>
              <w:keepNext/>
              <w:spacing w:before="100" w:beforeAutospacing="1" w:after="100" w:afterAutospacing="1"/>
              <w:rPr>
                <w:color w:val="000000"/>
              </w:rPr>
            </w:pPr>
            <w:r w:rsidRPr="00312873">
              <w:rPr>
                <w:color w:val="000000"/>
              </w:rPr>
              <w:t>End-of-life OI treatment costs averted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EB60A7" w:rsidRPr="003A787E" w:rsidRDefault="00EB60A7" w:rsidP="00306647">
            <w:pPr>
              <w:keepNext/>
              <w:spacing w:before="100" w:beforeAutospacing="1" w:after="100" w:afterAutospacing="1"/>
            </w:pPr>
            <w:r>
              <w:t>$1.4B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EB60A7" w:rsidRPr="003A787E" w:rsidRDefault="00EB60A7" w:rsidP="00306647">
            <w:pPr>
              <w:keepNext/>
              <w:spacing w:before="100" w:beforeAutospacing="1" w:after="100" w:afterAutospacing="1"/>
            </w:pPr>
            <w:r>
              <w:t>Same (as base-case)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>
              <w:t>Same (as base-case)</w:t>
            </w:r>
          </w:p>
        </w:tc>
      </w:tr>
      <w:tr w:rsidR="00EB60A7" w:rsidTr="00306647">
        <w:trPr>
          <w:trHeight w:val="395"/>
        </w:trPr>
        <w:tc>
          <w:tcPr>
            <w:tcW w:w="2215" w:type="dxa"/>
            <w:tcBorders>
              <w:bottom w:val="single" w:sz="12" w:space="0" w:color="auto"/>
            </w:tcBorders>
            <w:shd w:val="clear" w:color="auto" w:fill="auto"/>
          </w:tcPr>
          <w:p w:rsidR="00EB60A7" w:rsidRPr="00312873" w:rsidRDefault="00EB60A7" w:rsidP="00306647">
            <w:pPr>
              <w:keepNext/>
              <w:spacing w:before="100" w:beforeAutospacing="1" w:after="100" w:afterAutospacing="1"/>
              <w:rPr>
                <w:color w:val="000000"/>
              </w:rPr>
            </w:pPr>
            <w:r w:rsidRPr="00312873">
              <w:rPr>
                <w:color w:val="000000"/>
              </w:rPr>
              <w:t>Total benefit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>
              <w:t>$34.0B</w:t>
            </w:r>
          </w:p>
        </w:tc>
        <w:tc>
          <w:tcPr>
            <w:tcW w:w="3136" w:type="dxa"/>
            <w:tcBorders>
              <w:bottom w:val="single" w:sz="12" w:space="0" w:color="auto"/>
            </w:tcBorders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>
              <w:t>Same (as base-case)</w:t>
            </w:r>
          </w:p>
        </w:tc>
        <w:tc>
          <w:tcPr>
            <w:tcW w:w="2216" w:type="dxa"/>
            <w:tcBorders>
              <w:bottom w:val="single" w:sz="12" w:space="0" w:color="auto"/>
            </w:tcBorders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>
              <w:t>Same (as base-case)</w:t>
            </w:r>
          </w:p>
        </w:tc>
      </w:tr>
      <w:tr w:rsidR="00EB60A7" w:rsidTr="00306647">
        <w:trPr>
          <w:trHeight w:val="375"/>
        </w:trPr>
        <w:tc>
          <w:tcPr>
            <w:tcW w:w="2215" w:type="dxa"/>
            <w:tcBorders>
              <w:top w:val="single" w:sz="12" w:space="0" w:color="auto"/>
            </w:tcBorders>
            <w:shd w:val="clear" w:color="auto" w:fill="auto"/>
          </w:tcPr>
          <w:p w:rsidR="00EB60A7" w:rsidRPr="00312873" w:rsidRDefault="00EB60A7" w:rsidP="00306647">
            <w:pPr>
              <w:keepNext/>
              <w:spacing w:before="100" w:beforeAutospacing="1" w:after="100" w:afterAutospacing="1"/>
              <w:rPr>
                <w:color w:val="000000"/>
              </w:rPr>
            </w:pPr>
            <w:r w:rsidRPr="00312873">
              <w:rPr>
                <w:color w:val="000000"/>
              </w:rPr>
              <w:t>Net benefit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>
              <w:t>$19.8B</w:t>
            </w:r>
          </w:p>
        </w:tc>
        <w:tc>
          <w:tcPr>
            <w:tcW w:w="3136" w:type="dxa"/>
            <w:tcBorders>
              <w:top w:val="single" w:sz="12" w:space="0" w:color="auto"/>
            </w:tcBorders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>
              <w:t>$21.9B</w:t>
            </w:r>
          </w:p>
        </w:tc>
        <w:tc>
          <w:tcPr>
            <w:tcW w:w="2216" w:type="dxa"/>
            <w:tcBorders>
              <w:top w:val="single" w:sz="12" w:space="0" w:color="auto"/>
            </w:tcBorders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>
              <w:t>$16.3B</w:t>
            </w:r>
          </w:p>
        </w:tc>
      </w:tr>
      <w:tr w:rsidR="00EB60A7" w:rsidTr="00306647">
        <w:trPr>
          <w:trHeight w:val="341"/>
        </w:trPr>
        <w:tc>
          <w:tcPr>
            <w:tcW w:w="2215" w:type="dxa"/>
            <w:shd w:val="clear" w:color="auto" w:fill="auto"/>
          </w:tcPr>
          <w:p w:rsidR="00EB60A7" w:rsidRPr="00312873" w:rsidRDefault="00EB60A7" w:rsidP="00306647">
            <w:pPr>
              <w:keepNext/>
              <w:spacing w:before="100" w:beforeAutospacing="1" w:after="100" w:afterAutospacing="1"/>
              <w:rPr>
                <w:color w:val="000000"/>
              </w:rPr>
            </w:pPr>
            <w:r w:rsidRPr="00312873">
              <w:rPr>
                <w:color w:val="000000"/>
              </w:rPr>
              <w:t>Benefit/cost</w:t>
            </w:r>
          </w:p>
        </w:tc>
        <w:tc>
          <w:tcPr>
            <w:tcW w:w="1295" w:type="dxa"/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 w:rsidRPr="003A787E">
              <w:t>240%</w:t>
            </w:r>
          </w:p>
        </w:tc>
        <w:tc>
          <w:tcPr>
            <w:tcW w:w="3136" w:type="dxa"/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>
              <w:t>281%</w:t>
            </w:r>
          </w:p>
        </w:tc>
        <w:tc>
          <w:tcPr>
            <w:tcW w:w="2216" w:type="dxa"/>
            <w:shd w:val="clear" w:color="auto" w:fill="auto"/>
          </w:tcPr>
          <w:p w:rsidR="00EB60A7" w:rsidRDefault="00EB60A7" w:rsidP="00306647">
            <w:pPr>
              <w:keepNext/>
              <w:spacing w:before="100" w:beforeAutospacing="1" w:after="100" w:afterAutospacing="1"/>
            </w:pPr>
            <w:r>
              <w:t>192%</w:t>
            </w:r>
          </w:p>
        </w:tc>
      </w:tr>
    </w:tbl>
    <w:p w:rsidR="00322031" w:rsidRDefault="00322031"/>
    <w:sectPr w:rsidR="0032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A7"/>
    <w:rsid w:val="00322031"/>
    <w:rsid w:val="00E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CHDS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Resch</dc:creator>
  <cp:lastModifiedBy>Stephen Resch</cp:lastModifiedBy>
  <cp:revision>1</cp:revision>
  <dcterms:created xsi:type="dcterms:W3CDTF">2011-09-15T13:37:00Z</dcterms:created>
  <dcterms:modified xsi:type="dcterms:W3CDTF">2011-09-15T13:38:00Z</dcterms:modified>
</cp:coreProperties>
</file>