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0F" w:rsidRDefault="003D470F" w:rsidP="003D470F">
      <w:pPr>
        <w:suppressLineNumbers/>
        <w:spacing w:line="480" w:lineRule="auto"/>
        <w:ind w:left="-426"/>
        <w:rPr>
          <w:rFonts w:ascii="Garamond" w:hAnsi="Garamond" w:cs="Arial"/>
          <w:position w:val="30"/>
          <w:sz w:val="22"/>
          <w:szCs w:val="22"/>
        </w:rPr>
      </w:pPr>
      <w:r>
        <w:rPr>
          <w:rFonts w:ascii="Garamond" w:hAnsi="Garamond" w:cs="Arial"/>
          <w:position w:val="30"/>
          <w:sz w:val="22"/>
          <w:szCs w:val="22"/>
        </w:rPr>
        <w:t>Box 1. Rest group inclusions.</w:t>
      </w:r>
    </w:p>
    <w:tbl>
      <w:tblPr>
        <w:tblpPr w:leftFromText="180" w:rightFromText="180" w:vertAnchor="text" w:horzAnchor="page" w:tblpX="1496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3D470F" w:rsidTr="003D470F">
        <w:trPr>
          <w:trHeight w:val="4810"/>
        </w:trPr>
        <w:tc>
          <w:tcPr>
            <w:tcW w:w="8883" w:type="dxa"/>
          </w:tcPr>
          <w:p w:rsidR="003D470F" w:rsidRDefault="003D470F" w:rsidP="003D470F">
            <w:pPr>
              <w:suppressLineNumbers/>
              <w:spacing w:line="480" w:lineRule="auto"/>
              <w:rPr>
                <w:rFonts w:ascii="Garamond" w:hAnsi="Garamond" w:cs="Arial"/>
                <w:position w:val="30"/>
                <w:sz w:val="22"/>
                <w:szCs w:val="22"/>
              </w:rPr>
            </w:pPr>
            <w:r>
              <w:rPr>
                <w:rFonts w:ascii="Garamond" w:hAnsi="Garamond" w:cs="Arial"/>
                <w:position w:val="30"/>
                <w:sz w:val="22"/>
                <w:szCs w:val="22"/>
              </w:rPr>
              <w:t>The 19 incl</w:t>
            </w:r>
            <w:bookmarkStart w:id="0" w:name="_GoBack"/>
            <w:bookmarkEnd w:id="0"/>
            <w:r>
              <w:rPr>
                <w:rFonts w:ascii="Garamond" w:hAnsi="Garamond" w:cs="Arial"/>
                <w:position w:val="30"/>
                <w:sz w:val="22"/>
                <w:szCs w:val="22"/>
              </w:rPr>
              <w:t xml:space="preserve">usions in the rest group were: four postpartum psychoses, three cases of severe anemia of unknown cause, two ectopic pregnancies and a post-caesarean bleed which did not meet the criteria for major hemorrhage, an epileptic convulsion, a depression with suicide attempt, a stroke due to hypertension, a case of liver failure with unknown cause, a case of obstructed labor with bladder neck necrosis resulting in </w:t>
            </w:r>
            <w:proofErr w:type="spellStart"/>
            <w:r>
              <w:rPr>
                <w:rFonts w:ascii="Garamond" w:hAnsi="Garamond" w:cs="Arial"/>
                <w:position w:val="30"/>
                <w:sz w:val="22"/>
                <w:szCs w:val="22"/>
              </w:rPr>
              <w:t>vesicovaginal</w:t>
            </w:r>
            <w:proofErr w:type="spellEnd"/>
            <w:r>
              <w:rPr>
                <w:rFonts w:ascii="Garamond" w:hAnsi="Garamond" w:cs="Arial"/>
                <w:position w:val="30"/>
                <w:sz w:val="22"/>
                <w:szCs w:val="22"/>
              </w:rPr>
              <w:t xml:space="preserve"> fistula, a cardiac failure of unknown origin, a post-caesarean burst abdomen without visible infection, a uterine perforation due to unsafe abortion and a case of lactic acidosis as a side effect of antiretroviral therapy.</w:t>
            </w:r>
          </w:p>
        </w:tc>
      </w:tr>
    </w:tbl>
    <w:p w:rsidR="00A22C98" w:rsidRDefault="00A22C98"/>
    <w:sectPr w:rsidR="00A22C98" w:rsidSect="00A22C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0F"/>
    <w:rsid w:val="003D470F"/>
    <w:rsid w:val="0065354C"/>
    <w:rsid w:val="00A2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F8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Macintosh Word</Application>
  <DocSecurity>0</DocSecurity>
  <Lines>4</Lines>
  <Paragraphs>1</Paragraphs>
  <ScaleCrop>false</ScaleCrop>
  <Company>VUMC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den Akker</dc:creator>
  <cp:keywords/>
  <dc:description/>
  <cp:lastModifiedBy>Thomas van den Akker</cp:lastModifiedBy>
  <cp:revision>1</cp:revision>
  <dcterms:created xsi:type="dcterms:W3CDTF">2011-05-16T06:05:00Z</dcterms:created>
  <dcterms:modified xsi:type="dcterms:W3CDTF">2011-05-16T06:25:00Z</dcterms:modified>
</cp:coreProperties>
</file>