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52" w:rsidRDefault="00CB1052" w:rsidP="00CB1052">
      <w:r w:rsidRPr="004B4D5E">
        <w:rPr>
          <w:b/>
        </w:rPr>
        <w:t xml:space="preserve">Table </w:t>
      </w:r>
      <w:r w:rsidR="0041433D">
        <w:rPr>
          <w:b/>
        </w:rPr>
        <w:t>S</w:t>
      </w:r>
      <w:r w:rsidR="00BD6C6C">
        <w:rPr>
          <w:b/>
        </w:rPr>
        <w:t>3</w:t>
      </w:r>
      <w:r>
        <w:rPr>
          <w:b/>
        </w:rPr>
        <w:t>:  Association</w:t>
      </w:r>
      <w:r w:rsidRPr="008E4F58">
        <w:rPr>
          <w:b/>
        </w:rPr>
        <w:t xml:space="preserve"> </w:t>
      </w:r>
      <w:r>
        <w:rPr>
          <w:b/>
        </w:rPr>
        <w:t>of VL parameters with</w:t>
      </w:r>
      <w:r w:rsidRPr="008E4F58">
        <w:rPr>
          <w:b/>
        </w:rPr>
        <w:t xml:space="preserve"> risk of AIDS development after initiation of HAART</w:t>
      </w:r>
      <w:r>
        <w:rPr>
          <w:b/>
        </w:rPr>
        <w:t xml:space="preserve"> among seroconverters</w:t>
      </w:r>
    </w:p>
    <w:tbl>
      <w:tblPr>
        <w:tblW w:w="10400" w:type="dxa"/>
        <w:tblBorders>
          <w:top w:val="single" w:sz="4" w:space="0" w:color="auto"/>
          <w:bottom w:val="single" w:sz="4" w:space="0" w:color="auto"/>
        </w:tblBorders>
        <w:tblLook w:val="01A0"/>
      </w:tblPr>
      <w:tblGrid>
        <w:gridCol w:w="2347"/>
        <w:gridCol w:w="236"/>
        <w:gridCol w:w="1755"/>
        <w:gridCol w:w="270"/>
        <w:gridCol w:w="1814"/>
        <w:gridCol w:w="270"/>
        <w:gridCol w:w="1710"/>
        <w:gridCol w:w="270"/>
        <w:gridCol w:w="1728"/>
      </w:tblGrid>
      <w:tr w:rsidR="00CB1052" w:rsidRPr="00136F4F" w:rsidTr="0041433D">
        <w:trPr>
          <w:trHeight w:hRule="exact" w:val="749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052" w:rsidRPr="009A5921" w:rsidRDefault="00CB1052" w:rsidP="00017A64">
            <w:pPr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>Covariate</w:t>
            </w:r>
          </w:p>
        </w:tc>
        <w:tc>
          <w:tcPr>
            <w:tcW w:w="236" w:type="dxa"/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 xml:space="preserve">Overall </w:t>
            </w: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>Decay Constant</w:t>
            </w: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n</w:t>
            </w:r>
            <w:r w:rsidRPr="009A5921">
              <w:rPr>
                <w:b/>
                <w:sz w:val="20"/>
                <w:szCs w:val="20"/>
              </w:rPr>
              <w:t xml:space="preserve"> = 1,</w:t>
            </w:r>
            <w:r>
              <w:rPr>
                <w:b/>
                <w:sz w:val="20"/>
                <w:szCs w:val="20"/>
              </w:rPr>
              <w:t>184</w:t>
            </w:r>
            <w:r w:rsidRPr="009A5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 xml:space="preserve">Decay constant </w:t>
            </w: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>during first year</w:t>
            </w: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n</w:t>
            </w:r>
            <w:r w:rsidRPr="009A5921"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sz w:val="20"/>
                <w:szCs w:val="20"/>
              </w:rPr>
              <w:t>1029</w:t>
            </w:r>
            <w:r w:rsidRPr="009A5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 xml:space="preserve">Slope </w:t>
            </w: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>during first year</w:t>
            </w: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n</w:t>
            </w:r>
            <w:r w:rsidRPr="009A5921"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sz w:val="20"/>
                <w:szCs w:val="20"/>
              </w:rPr>
              <w:t>990</w:t>
            </w:r>
            <w:r w:rsidRPr="009A5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 xml:space="preserve">Cumulative VL </w:t>
            </w: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</w:p>
          <w:p w:rsidR="00CB1052" w:rsidRPr="009A5921" w:rsidRDefault="00CB1052" w:rsidP="00017A64">
            <w:pPr>
              <w:jc w:val="center"/>
              <w:rPr>
                <w:b/>
                <w:sz w:val="20"/>
                <w:szCs w:val="20"/>
              </w:rPr>
            </w:pPr>
            <w:r w:rsidRPr="009A5921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n</w:t>
            </w:r>
            <w:r w:rsidRPr="009A5921">
              <w:rPr>
                <w:b/>
                <w:sz w:val="20"/>
                <w:szCs w:val="20"/>
              </w:rPr>
              <w:t xml:space="preserve"> = 1,</w:t>
            </w:r>
            <w:r>
              <w:rPr>
                <w:b/>
                <w:sz w:val="20"/>
                <w:szCs w:val="20"/>
              </w:rPr>
              <w:t>139</w:t>
            </w:r>
            <w:r w:rsidRPr="009A5921">
              <w:rPr>
                <w:b/>
                <w:sz w:val="20"/>
                <w:szCs w:val="20"/>
              </w:rPr>
              <w:t>)</w:t>
            </w:r>
          </w:p>
        </w:tc>
      </w:tr>
      <w:tr w:rsidR="00CB1052" w:rsidRPr="00136F4F" w:rsidTr="0041433D">
        <w:trPr>
          <w:trHeight w:hRule="exact" w:val="72"/>
        </w:trPr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 w:rsidR="00CB1052" w:rsidRPr="00136F4F" w:rsidRDefault="00CB1052" w:rsidP="00017A6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B1052" w:rsidRPr="00136F4F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CB1052" w:rsidRPr="00136F4F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B1052" w:rsidRPr="00136F4F" w:rsidRDefault="00CB1052" w:rsidP="00017A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1052" w:rsidRPr="00136F4F" w:rsidRDefault="00CB1052" w:rsidP="00017A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CB1052" w:rsidRPr="00136F4F" w:rsidRDefault="00CB1052" w:rsidP="00017A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1052" w:rsidRPr="00136F4F" w:rsidRDefault="00CB1052" w:rsidP="00017A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CB1052" w:rsidRPr="00136F4F" w:rsidRDefault="00CB1052" w:rsidP="00017A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B1052" w:rsidRPr="00136F4F" w:rsidRDefault="00CB1052" w:rsidP="00017A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bottom w:val="nil"/>
            </w:tcBorders>
            <w:shd w:val="clear" w:color="auto" w:fill="auto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VL kinetic parameter</w:t>
            </w:r>
          </w:p>
        </w:tc>
        <w:tc>
          <w:tcPr>
            <w:tcW w:w="236" w:type="dxa"/>
            <w:tcBorders>
              <w:bottom w:val="nil"/>
            </w:tcBorders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1.72 (1.11 – 2.65), 0.014</w:t>
            </w:r>
          </w:p>
        </w:tc>
        <w:tc>
          <w:tcPr>
            <w:tcW w:w="270" w:type="dxa"/>
            <w:tcBorders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1.07 (0.68 - 1.67), 0.768</w:t>
            </w:r>
          </w:p>
        </w:tc>
        <w:tc>
          <w:tcPr>
            <w:tcW w:w="270" w:type="dxa"/>
            <w:tcBorders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1.02 (0.65 - 1.58), 0.940</w:t>
            </w:r>
          </w:p>
        </w:tc>
        <w:tc>
          <w:tcPr>
            <w:tcW w:w="270" w:type="dxa"/>
            <w:tcBorders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2.49 (1.42 - 4.38), 0.001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Log</w:t>
            </w:r>
            <w:r w:rsidRPr="00F167E0">
              <w:rPr>
                <w:sz w:val="20"/>
                <w:szCs w:val="20"/>
                <w:vertAlign w:val="subscript"/>
              </w:rPr>
              <w:t>10</w:t>
            </w:r>
            <w:r w:rsidRPr="00F167E0">
              <w:rPr>
                <w:sz w:val="20"/>
                <w:szCs w:val="20"/>
              </w:rPr>
              <w:t xml:space="preserve"> (pre-HAART VL)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1.36 (0.99 – 1.86), 0.055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1.28 (0.89 - 1.83), 0.176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1.28 (0.89 - 1.83), 0.180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1.25 (0.91 - 1.71), 0.174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Baseline CD4 T cell count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0.99 (0.90 - 1.10), 0.914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1.02 (0.92 - 1.13), 0.735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1.02 (0.92 - 1.12), 0.750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1.00 (0.91 - 1.11), 0.950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Nadir CD4 count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0.98 (0.99 - 0.99), 0.028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1.00 (1.00 - 1.00), 0.107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1.00 (1.00 - 1.00), 0.108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1.00 (1.00 -1.00), 0.017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Female gender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0.33 (0.08 – 1.36), 0.125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0.45 (0.11 - 1.84), 0.265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0.45 (0.11 - 1.85), 0.268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0.36 (0.09 - 1.46), 0.151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African ancestry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1.52 (1.01 – 2.29), 0.046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1.49 (0.95 - 2.31), 0.082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1.49 (0.95 - 2.32), 0.081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1.49 (0.98 - 2.24), 0.060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Age at HAART initiation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0.99 (0.95 - 1.01), 0.343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0.98 (0.95 - 1.02), 0.334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0.98 (0.95 - 1.02), 0.326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0.99 (0.96 - 1.02), 0.385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Prior use of ARV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0.79 (0.44 - 1.43), 0.443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0.85 (0.46 - 1.59), 0.611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0.85 (0.95 - 1.02), 0.609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0.78 (0.43 - 1.43), 0.426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Prior AIDS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2.14 (1.22 - 3.74), 0.008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2.78 (1.55 - 4.97), 0.001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2.77 (1.55 - 4.96), 0.001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1.93 (1.10 - 3.38), 0.021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VL suppressor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0.30 (0.15 - 0.58), &lt;0.001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0.17 (0.08 - 0.35), &lt;0.001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0.17 (0.08 - 0.35), &lt;0.001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0.34 (0.18 - 0.65), 0.001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Late HAART era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0.68 (0.38 - 1.21), 0.191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0.74 (0.39 - 1.41), 0.362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0.74 (0.39 - 1.42), 0.369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0.87 (0.45 - 1.69), 0.691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rPr>
                <w:sz w:val="20"/>
                <w:szCs w:val="20"/>
              </w:rPr>
            </w:pPr>
            <w:r w:rsidRPr="00F167E0">
              <w:rPr>
                <w:sz w:val="20"/>
                <w:szCs w:val="20"/>
              </w:rPr>
              <w:t>Time to HAART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EAEA"/>
          </w:tcPr>
          <w:p w:rsidR="00CB1052" w:rsidRPr="00F167E0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1.09 (1.01 - 1.17), 0.034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1.09 (1.00 - 1.18), 0.046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1.09 (1.00 - 1.18), 0.042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EAEAEA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1.08 (1.00 - 1.16), 0.042</w:t>
            </w:r>
          </w:p>
        </w:tc>
      </w:tr>
      <w:tr w:rsidR="00CB1052" w:rsidRPr="00D07F21" w:rsidTr="0041433D">
        <w:trPr>
          <w:trHeight w:hRule="exact" w:val="576"/>
        </w:trPr>
        <w:tc>
          <w:tcPr>
            <w:tcW w:w="2347" w:type="dxa"/>
            <w:tcBorders>
              <w:top w:val="nil"/>
            </w:tcBorders>
            <w:shd w:val="clear" w:color="auto" w:fill="auto"/>
          </w:tcPr>
          <w:p w:rsidR="00CB1052" w:rsidRPr="00136F4F" w:rsidRDefault="00CB1052" w:rsidP="00017A64">
            <w:pPr>
              <w:rPr>
                <w:sz w:val="20"/>
                <w:szCs w:val="20"/>
              </w:rPr>
            </w:pPr>
            <w:r w:rsidRPr="00136F4F">
              <w:rPr>
                <w:sz w:val="20"/>
                <w:szCs w:val="20"/>
              </w:rPr>
              <w:t>Time to VL suppression</w:t>
            </w:r>
          </w:p>
        </w:tc>
        <w:tc>
          <w:tcPr>
            <w:tcW w:w="236" w:type="dxa"/>
            <w:tcBorders>
              <w:top w:val="nil"/>
            </w:tcBorders>
          </w:tcPr>
          <w:p w:rsidR="00CB1052" w:rsidRPr="00136F4F" w:rsidRDefault="00CB1052" w:rsidP="000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F21">
              <w:rPr>
                <w:color w:val="000000" w:themeColor="text1"/>
                <w:sz w:val="20"/>
                <w:szCs w:val="20"/>
              </w:rPr>
              <w:t>1.13 (1.05 - 1.22), 0.001</w:t>
            </w:r>
          </w:p>
        </w:tc>
        <w:tc>
          <w:tcPr>
            <w:tcW w:w="270" w:type="dxa"/>
            <w:tcBorders>
              <w:top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1.14 (1.05 - 1.23), 0.002</w:t>
            </w:r>
          </w:p>
        </w:tc>
        <w:tc>
          <w:tcPr>
            <w:tcW w:w="270" w:type="dxa"/>
            <w:tcBorders>
              <w:top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1.14 (1.05 - 1.23), 0.002</w:t>
            </w:r>
          </w:p>
        </w:tc>
        <w:tc>
          <w:tcPr>
            <w:tcW w:w="270" w:type="dxa"/>
            <w:tcBorders>
              <w:top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CB1052" w:rsidRPr="00D07F21" w:rsidRDefault="00CB1052" w:rsidP="00017A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7F21">
              <w:rPr>
                <w:rFonts w:cs="Arial"/>
                <w:color w:val="000000" w:themeColor="text1"/>
                <w:sz w:val="20"/>
                <w:szCs w:val="20"/>
              </w:rPr>
              <w:t>1.14 (1.06 - 1.23), &lt;0.001</w:t>
            </w:r>
          </w:p>
        </w:tc>
      </w:tr>
    </w:tbl>
    <w:p w:rsidR="00CB1052" w:rsidRDefault="00CB1052" w:rsidP="00CB1052">
      <w:pPr>
        <w:rPr>
          <w:rFonts w:ascii="Courier New" w:hAnsi="Courier New" w:cs="Courier New"/>
          <w:b/>
          <w:sz w:val="18"/>
          <w:szCs w:val="18"/>
        </w:rPr>
      </w:pPr>
    </w:p>
    <w:p w:rsidR="00CB1052" w:rsidRPr="00665A49" w:rsidRDefault="00CB1052" w:rsidP="00CB1052">
      <w:pPr>
        <w:ind w:left="720" w:hanging="720"/>
        <w:jc w:val="both"/>
        <w:rPr>
          <w:b/>
        </w:rPr>
      </w:pPr>
    </w:p>
    <w:p w:rsidR="0012661C" w:rsidRPr="00702E9E" w:rsidRDefault="0012661C">
      <w:pPr>
        <w:rPr>
          <w:rFonts w:asciiTheme="minorHAnsi" w:hAnsiTheme="minorHAnsi"/>
        </w:rPr>
      </w:pPr>
    </w:p>
    <w:sectPr w:rsidR="0012661C" w:rsidRPr="00702E9E" w:rsidSect="008922A7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69" w:rsidRDefault="00F81369" w:rsidP="002A3E77">
      <w:r>
        <w:separator/>
      </w:r>
    </w:p>
  </w:endnote>
  <w:endnote w:type="continuationSeparator" w:id="0">
    <w:p w:rsidR="00F81369" w:rsidRDefault="00F81369" w:rsidP="002A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42" w:rsidRDefault="00C34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3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042" w:rsidRDefault="00F81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69" w:rsidRDefault="00F81369" w:rsidP="002A3E77">
      <w:r>
        <w:separator/>
      </w:r>
    </w:p>
  </w:footnote>
  <w:footnote w:type="continuationSeparator" w:id="0">
    <w:p w:rsidR="00F81369" w:rsidRDefault="00F81369" w:rsidP="002A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42" w:rsidRDefault="00F81369" w:rsidP="00FD6A3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E77"/>
    <w:rsid w:val="0003534E"/>
    <w:rsid w:val="0012661C"/>
    <w:rsid w:val="002A3E77"/>
    <w:rsid w:val="00363C0F"/>
    <w:rsid w:val="004024DA"/>
    <w:rsid w:val="0041433D"/>
    <w:rsid w:val="00462759"/>
    <w:rsid w:val="00477C85"/>
    <w:rsid w:val="00702E9E"/>
    <w:rsid w:val="008922A7"/>
    <w:rsid w:val="00980356"/>
    <w:rsid w:val="00991FB8"/>
    <w:rsid w:val="00A1684B"/>
    <w:rsid w:val="00A366A1"/>
    <w:rsid w:val="00BD6C6C"/>
    <w:rsid w:val="00C01DE8"/>
    <w:rsid w:val="00C3448B"/>
    <w:rsid w:val="00C40CC3"/>
    <w:rsid w:val="00CB1052"/>
    <w:rsid w:val="00CF2FB9"/>
    <w:rsid w:val="00D076A8"/>
    <w:rsid w:val="00D07F21"/>
    <w:rsid w:val="00D62FE1"/>
    <w:rsid w:val="00F77680"/>
    <w:rsid w:val="00F81369"/>
    <w:rsid w:val="00F81BC0"/>
    <w:rsid w:val="00FA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3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A3E77"/>
  </w:style>
  <w:style w:type="paragraph" w:styleId="Header">
    <w:name w:val="header"/>
    <w:basedOn w:val="Normal"/>
    <w:link w:val="HeaderChar"/>
    <w:uiPriority w:val="99"/>
    <w:rsid w:val="002A3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7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22A7"/>
    <w:pPr>
      <w:suppressAutoHyphens/>
    </w:pPr>
    <w:rPr>
      <w:b/>
      <w:bCs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8922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Emory University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vcmarco</dc:creator>
  <cp:lastModifiedBy>vcmarco</cp:lastModifiedBy>
  <cp:revision>5</cp:revision>
  <dcterms:created xsi:type="dcterms:W3CDTF">2011-04-06T15:20:00Z</dcterms:created>
  <dcterms:modified xsi:type="dcterms:W3CDTF">2011-04-25T01:49:00Z</dcterms:modified>
</cp:coreProperties>
</file>