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21" w:rsidRPr="00F47B6C" w:rsidRDefault="00115095" w:rsidP="00FC68DD">
      <w:pPr>
        <w:pStyle w:val="RSInstitution"/>
        <w:spacing w:line="480" w:lineRule="auto"/>
        <w:jc w:val="both"/>
        <w:rPr>
          <w:rFonts w:cs="Times New Roman"/>
          <w:b/>
          <w:bCs w:val="0"/>
          <w:i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t>Supporting Information</w:t>
      </w:r>
      <w:r w:rsidR="00F13077">
        <w:rPr>
          <w:rFonts w:cs="Times New Roman"/>
          <w:b/>
          <w:bCs w:val="0"/>
          <w:kern w:val="0"/>
          <w:szCs w:val="24"/>
        </w:rPr>
        <w:t xml:space="preserve"> </w:t>
      </w:r>
      <w:r w:rsidR="00E96D11">
        <w:rPr>
          <w:rFonts w:cs="Times New Roman"/>
          <w:b/>
          <w:bCs w:val="0"/>
          <w:kern w:val="0"/>
          <w:szCs w:val="24"/>
        </w:rPr>
        <w:t xml:space="preserve">Jain </w:t>
      </w:r>
      <w:r w:rsidR="00E96D11" w:rsidRPr="00F47B6C">
        <w:rPr>
          <w:rFonts w:cs="Times New Roman"/>
          <w:b/>
          <w:bCs w:val="0"/>
          <w:i/>
          <w:kern w:val="0"/>
          <w:szCs w:val="24"/>
        </w:rPr>
        <w:t>et al.</w:t>
      </w:r>
    </w:p>
    <w:p w:rsidR="00F95C51" w:rsidRPr="009D11B8" w:rsidRDefault="00F95C51" w:rsidP="00FC68DD">
      <w:pPr>
        <w:pStyle w:val="RSInstitution"/>
        <w:spacing w:line="480" w:lineRule="auto"/>
        <w:jc w:val="both"/>
        <w:rPr>
          <w:b/>
        </w:rPr>
      </w:pPr>
      <w:r w:rsidRPr="009D11B8">
        <w:rPr>
          <w:b/>
        </w:rPr>
        <w:t>Figure S4</w:t>
      </w:r>
    </w:p>
    <w:p w:rsidR="0083007D" w:rsidRPr="009D11B8" w:rsidRDefault="00F56F21" w:rsidP="00FC68DD">
      <w:pPr>
        <w:pStyle w:val="RSInstitution"/>
        <w:spacing w:line="48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86400" cy="2895600"/>
            <wp:effectExtent l="19050" t="0" r="0" b="0"/>
            <wp:docPr id="4" name="Picture 4" descr="Figure 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S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7D" w:rsidRPr="009D11B8" w:rsidRDefault="0083007D" w:rsidP="00FC68DD">
      <w:pPr>
        <w:pStyle w:val="RSInstitution"/>
        <w:spacing w:line="480" w:lineRule="auto"/>
        <w:jc w:val="both"/>
        <w:rPr>
          <w:rFonts w:cs="Times New Roman"/>
          <w:bCs w:val="0"/>
          <w:kern w:val="0"/>
          <w:szCs w:val="24"/>
        </w:rPr>
      </w:pPr>
      <w:r w:rsidRPr="009D11B8">
        <w:rPr>
          <w:b/>
        </w:rPr>
        <w:t xml:space="preserve">Figure S4. Immunoblots </w:t>
      </w:r>
      <w:r w:rsidR="000B3E0F" w:rsidRPr="009D11B8">
        <w:rPr>
          <w:b/>
        </w:rPr>
        <w:t xml:space="preserve">on Neisseria membranes </w:t>
      </w:r>
      <w:r w:rsidRPr="009D11B8">
        <w:rPr>
          <w:b/>
        </w:rPr>
        <w:t xml:space="preserve">with PilE and PilQ antibody. </w:t>
      </w:r>
      <w:r w:rsidR="000B3E0F" w:rsidRPr="009D11B8">
        <w:t>(A)</w:t>
      </w:r>
      <w:r w:rsidR="000B3E0F" w:rsidRPr="009D11B8">
        <w:rPr>
          <w:rFonts w:cs="Times New Roman"/>
          <w:bCs w:val="0"/>
          <w:kern w:val="0"/>
          <w:szCs w:val="24"/>
        </w:rPr>
        <w:t xml:space="preserve"> </w:t>
      </w:r>
      <w:r w:rsidRPr="009D11B8">
        <w:rPr>
          <w:rFonts w:cs="Times New Roman"/>
          <w:bCs w:val="0"/>
          <w:kern w:val="0"/>
          <w:szCs w:val="24"/>
        </w:rPr>
        <w:t xml:space="preserve">Western blot using </w:t>
      </w:r>
      <w:r w:rsidR="00BD4742" w:rsidRPr="009D11B8">
        <w:rPr>
          <w:rFonts w:cs="Times New Roman"/>
          <w:bCs w:val="0"/>
          <w:kern w:val="0"/>
          <w:szCs w:val="24"/>
        </w:rPr>
        <w:t>a</w:t>
      </w:r>
      <w:r w:rsidRPr="009D11B8">
        <w:rPr>
          <w:rFonts w:cs="Times New Roman"/>
          <w:bCs w:val="0"/>
          <w:kern w:val="0"/>
          <w:szCs w:val="24"/>
        </w:rPr>
        <w:t xml:space="preserve"> monoclonal antibody raised against </w:t>
      </w:r>
      <w:r w:rsidRPr="009D11B8">
        <w:rPr>
          <w:rFonts w:cs="Times New Roman"/>
          <w:bCs w:val="0"/>
          <w:i/>
          <w:kern w:val="0"/>
          <w:szCs w:val="24"/>
        </w:rPr>
        <w:t xml:space="preserve">N.meningitidis </w:t>
      </w:r>
      <w:r w:rsidRPr="009D11B8">
        <w:rPr>
          <w:rFonts w:cs="Times New Roman"/>
          <w:bCs w:val="0"/>
          <w:kern w:val="0"/>
          <w:szCs w:val="24"/>
        </w:rPr>
        <w:t>PilE-SM1</w:t>
      </w:r>
      <w:r w:rsidR="00830BEE" w:rsidRPr="009D11B8">
        <w:rPr>
          <w:rFonts w:cs="Times New Roman"/>
          <w:bCs w:val="0"/>
          <w:kern w:val="0"/>
          <w:szCs w:val="24"/>
        </w:rPr>
        <w:t xml:space="preserve">. Lanes show </w:t>
      </w:r>
      <w:r w:rsidR="000B3E0F" w:rsidRPr="009D11B8">
        <w:rPr>
          <w:rFonts w:cs="Times New Roman"/>
          <w:bCs w:val="0"/>
          <w:kern w:val="0"/>
          <w:szCs w:val="24"/>
        </w:rPr>
        <w:t xml:space="preserve">outer membrane enriched samples from </w:t>
      </w:r>
      <w:r w:rsidR="000B3E0F" w:rsidRPr="009D11B8">
        <w:rPr>
          <w:rFonts w:cs="Times New Roman"/>
          <w:bCs w:val="0"/>
          <w:i/>
          <w:kern w:val="0"/>
          <w:szCs w:val="24"/>
        </w:rPr>
        <w:t>N.gonorrhoeae</w:t>
      </w:r>
      <w:r w:rsidR="000B3E0F" w:rsidRPr="009D11B8">
        <w:rPr>
          <w:rFonts w:cs="Times New Roman"/>
          <w:bCs w:val="0"/>
          <w:kern w:val="0"/>
          <w:szCs w:val="24"/>
        </w:rPr>
        <w:t xml:space="preserve"> MS11 (lane 1), </w:t>
      </w:r>
      <w:r w:rsidR="00BD4742" w:rsidRPr="009D11B8">
        <w:rPr>
          <w:rFonts w:cs="Times New Roman"/>
          <w:bCs w:val="0"/>
          <w:kern w:val="0"/>
          <w:szCs w:val="24"/>
        </w:rPr>
        <w:t xml:space="preserve">and the </w:t>
      </w:r>
      <w:r w:rsidR="000B3E0F" w:rsidRPr="009D11B8">
        <w:rPr>
          <w:rFonts w:cs="Times New Roman"/>
          <w:bCs w:val="0"/>
          <w:i/>
          <w:kern w:val="0"/>
          <w:szCs w:val="24"/>
        </w:rPr>
        <w:t>pilQ</w:t>
      </w:r>
      <w:r w:rsidR="000B3E0F" w:rsidRPr="009D11B8">
        <w:rPr>
          <w:rFonts w:cs="Times New Roman"/>
          <w:bCs w:val="0"/>
          <w:kern w:val="0"/>
          <w:szCs w:val="24"/>
        </w:rPr>
        <w:t xml:space="preserve"> (Lane 2), </w:t>
      </w:r>
      <w:r w:rsidR="000B3E0F" w:rsidRPr="009D11B8">
        <w:rPr>
          <w:rFonts w:cs="Times New Roman"/>
          <w:bCs w:val="0"/>
          <w:i/>
          <w:kern w:val="0"/>
          <w:szCs w:val="24"/>
        </w:rPr>
        <w:t>pilP</w:t>
      </w:r>
      <w:r w:rsidR="000B3E0F" w:rsidRPr="009D11B8">
        <w:rPr>
          <w:rFonts w:cs="Times New Roman"/>
          <w:bCs w:val="0"/>
          <w:kern w:val="0"/>
          <w:szCs w:val="24"/>
        </w:rPr>
        <w:t xml:space="preserve"> (Lane 3)</w:t>
      </w:r>
      <w:r w:rsidR="00BD4742" w:rsidRPr="009D11B8">
        <w:rPr>
          <w:rFonts w:cs="Times New Roman"/>
          <w:bCs w:val="0"/>
          <w:kern w:val="0"/>
          <w:szCs w:val="24"/>
        </w:rPr>
        <w:t xml:space="preserve"> and </w:t>
      </w:r>
      <w:r w:rsidR="000B3E0F" w:rsidRPr="009D11B8">
        <w:rPr>
          <w:rFonts w:cs="Times New Roman"/>
          <w:bCs w:val="0"/>
          <w:i/>
          <w:kern w:val="0"/>
          <w:szCs w:val="24"/>
        </w:rPr>
        <w:t>pilE</w:t>
      </w:r>
      <w:r w:rsidR="000B3E0F" w:rsidRPr="009D11B8">
        <w:rPr>
          <w:rFonts w:cs="Times New Roman"/>
          <w:bCs w:val="0"/>
          <w:kern w:val="0"/>
          <w:szCs w:val="24"/>
        </w:rPr>
        <w:t xml:space="preserve"> mutant</w:t>
      </w:r>
      <w:r w:rsidR="00BD4742" w:rsidRPr="009D11B8">
        <w:rPr>
          <w:rFonts w:cs="Times New Roman"/>
          <w:bCs w:val="0"/>
          <w:kern w:val="0"/>
          <w:szCs w:val="24"/>
        </w:rPr>
        <w:t>s</w:t>
      </w:r>
      <w:r w:rsidR="000B3E0F" w:rsidRPr="009D11B8">
        <w:rPr>
          <w:rFonts w:cs="Times New Roman"/>
          <w:bCs w:val="0"/>
          <w:kern w:val="0"/>
          <w:szCs w:val="24"/>
        </w:rPr>
        <w:t xml:space="preserve"> (Lane 4),</w:t>
      </w:r>
      <w:r w:rsidR="00BD4742" w:rsidRPr="009D11B8">
        <w:rPr>
          <w:rFonts w:cs="Times New Roman"/>
          <w:bCs w:val="0"/>
          <w:kern w:val="0"/>
          <w:szCs w:val="24"/>
        </w:rPr>
        <w:t xml:space="preserve"> and</w:t>
      </w:r>
      <w:r w:rsidR="000B3E0F" w:rsidRPr="009D11B8">
        <w:rPr>
          <w:rFonts w:cs="Times New Roman"/>
          <w:bCs w:val="0"/>
          <w:kern w:val="0"/>
          <w:szCs w:val="24"/>
        </w:rPr>
        <w:t xml:space="preserve">  </w:t>
      </w:r>
      <w:r w:rsidR="000B3E0F" w:rsidRPr="009D11B8">
        <w:rPr>
          <w:rFonts w:cs="Times New Roman"/>
          <w:bCs w:val="0"/>
          <w:i/>
          <w:kern w:val="0"/>
          <w:szCs w:val="24"/>
        </w:rPr>
        <w:t xml:space="preserve">N.meningitidis </w:t>
      </w:r>
      <w:r w:rsidR="00BD4742" w:rsidRPr="009D11B8">
        <w:rPr>
          <w:rFonts w:cs="Times New Roman"/>
          <w:bCs w:val="0"/>
          <w:kern w:val="0"/>
          <w:szCs w:val="24"/>
        </w:rPr>
        <w:t xml:space="preserve">strains </w:t>
      </w:r>
      <w:r w:rsidR="000B3E0F" w:rsidRPr="009D11B8">
        <w:rPr>
          <w:rFonts w:cs="Times New Roman"/>
          <w:bCs w:val="0"/>
          <w:kern w:val="0"/>
          <w:szCs w:val="24"/>
        </w:rPr>
        <w:t>M986 (lane 5), H44/76 (lane 6) and</w:t>
      </w:r>
      <w:r w:rsidR="000B3E0F" w:rsidRPr="009D11B8">
        <w:rPr>
          <w:rFonts w:cs="Times New Roman"/>
          <w:bCs w:val="0"/>
          <w:i/>
          <w:kern w:val="0"/>
          <w:szCs w:val="24"/>
        </w:rPr>
        <w:t xml:space="preserve"> </w:t>
      </w:r>
      <w:r w:rsidR="000B3E0F" w:rsidRPr="009D11B8">
        <w:rPr>
          <w:rFonts w:cs="Times New Roman"/>
          <w:bCs w:val="0"/>
          <w:kern w:val="0"/>
          <w:szCs w:val="24"/>
        </w:rPr>
        <w:t>HB1</w:t>
      </w:r>
      <w:r w:rsidR="000B3E0F" w:rsidRPr="009D11B8">
        <w:rPr>
          <w:rFonts w:cs="Times New Roman"/>
          <w:bCs w:val="0"/>
          <w:i/>
          <w:kern w:val="0"/>
          <w:szCs w:val="24"/>
        </w:rPr>
        <w:t xml:space="preserve"> </w:t>
      </w:r>
      <w:r w:rsidR="000B3E0F" w:rsidRPr="009D11B8">
        <w:rPr>
          <w:rFonts w:cs="Times New Roman"/>
          <w:bCs w:val="0"/>
          <w:kern w:val="0"/>
          <w:szCs w:val="24"/>
        </w:rPr>
        <w:t xml:space="preserve">(lane 7). (B) Western blot using the monoclonal antibody raised against </w:t>
      </w:r>
      <w:r w:rsidR="000B3E0F" w:rsidRPr="009D11B8">
        <w:rPr>
          <w:rFonts w:cs="Times New Roman"/>
          <w:bCs w:val="0"/>
          <w:i/>
          <w:kern w:val="0"/>
          <w:szCs w:val="24"/>
        </w:rPr>
        <w:t xml:space="preserve">N.meningitidis </w:t>
      </w:r>
      <w:r w:rsidR="000B3E0F" w:rsidRPr="009D11B8">
        <w:rPr>
          <w:rFonts w:cs="Times New Roman"/>
          <w:bCs w:val="0"/>
          <w:kern w:val="0"/>
          <w:szCs w:val="24"/>
        </w:rPr>
        <w:t>PilQ</w:t>
      </w:r>
      <w:r w:rsidRPr="009D11B8">
        <w:rPr>
          <w:rFonts w:cs="Times New Roman"/>
          <w:bCs w:val="0"/>
          <w:kern w:val="0"/>
          <w:szCs w:val="24"/>
        </w:rPr>
        <w:t xml:space="preserve"> </w:t>
      </w:r>
      <w:r w:rsidR="00BD4742" w:rsidRPr="009D11B8">
        <w:rPr>
          <w:rFonts w:cs="Times New Roman"/>
          <w:bCs w:val="0"/>
          <w:kern w:val="0"/>
          <w:szCs w:val="24"/>
        </w:rPr>
        <w:t>on</w:t>
      </w:r>
      <w:r w:rsidR="000B3E0F" w:rsidRPr="009D11B8">
        <w:rPr>
          <w:rFonts w:cs="Times New Roman"/>
          <w:bCs w:val="0"/>
          <w:kern w:val="0"/>
          <w:szCs w:val="24"/>
        </w:rPr>
        <w:t xml:space="preserve"> phenol treated outer membrane enriched samples from </w:t>
      </w:r>
      <w:r w:rsidR="000B3E0F" w:rsidRPr="009D11B8">
        <w:rPr>
          <w:rFonts w:cs="Times New Roman"/>
          <w:bCs w:val="0"/>
          <w:i/>
          <w:kern w:val="0"/>
          <w:szCs w:val="24"/>
        </w:rPr>
        <w:t>N.gonorrhoeae</w:t>
      </w:r>
      <w:r w:rsidR="000B3E0F" w:rsidRPr="009D11B8">
        <w:rPr>
          <w:rFonts w:cs="Times New Roman"/>
          <w:bCs w:val="0"/>
          <w:kern w:val="0"/>
          <w:szCs w:val="24"/>
        </w:rPr>
        <w:t xml:space="preserve"> MS11 (lane 1),</w:t>
      </w:r>
      <w:r w:rsidR="00BD4742" w:rsidRPr="009D11B8">
        <w:rPr>
          <w:rFonts w:cs="Times New Roman"/>
          <w:bCs w:val="0"/>
          <w:kern w:val="0"/>
          <w:szCs w:val="24"/>
        </w:rPr>
        <w:t xml:space="preserve"> and</w:t>
      </w:r>
      <w:r w:rsidR="000B3E0F" w:rsidRPr="009D11B8">
        <w:rPr>
          <w:rFonts w:cs="Times New Roman"/>
          <w:bCs w:val="0"/>
          <w:kern w:val="0"/>
          <w:szCs w:val="24"/>
        </w:rPr>
        <w:t xml:space="preserve"> </w:t>
      </w:r>
      <w:r w:rsidR="000B3E0F" w:rsidRPr="009D11B8">
        <w:rPr>
          <w:rFonts w:cs="Times New Roman"/>
          <w:bCs w:val="0"/>
          <w:i/>
          <w:kern w:val="0"/>
          <w:szCs w:val="24"/>
        </w:rPr>
        <w:t>pilQ</w:t>
      </w:r>
      <w:r w:rsidR="000B3E0F" w:rsidRPr="009D11B8">
        <w:rPr>
          <w:rFonts w:cs="Times New Roman"/>
          <w:bCs w:val="0"/>
          <w:kern w:val="0"/>
          <w:szCs w:val="24"/>
        </w:rPr>
        <w:t xml:space="preserve"> (Lane 2), </w:t>
      </w:r>
      <w:r w:rsidR="000B3E0F" w:rsidRPr="009D11B8">
        <w:rPr>
          <w:rFonts w:cs="Times New Roman"/>
          <w:bCs w:val="0"/>
          <w:i/>
          <w:kern w:val="0"/>
          <w:szCs w:val="24"/>
        </w:rPr>
        <w:t>pilP</w:t>
      </w:r>
      <w:r w:rsidR="000B3E0F" w:rsidRPr="009D11B8">
        <w:rPr>
          <w:rFonts w:cs="Times New Roman"/>
          <w:bCs w:val="0"/>
          <w:kern w:val="0"/>
          <w:szCs w:val="24"/>
        </w:rPr>
        <w:t xml:space="preserve"> (Lane 3), </w:t>
      </w:r>
      <w:r w:rsidR="00BD4742" w:rsidRPr="009D11B8">
        <w:rPr>
          <w:rFonts w:cs="Times New Roman"/>
          <w:bCs w:val="0"/>
          <w:kern w:val="0"/>
          <w:szCs w:val="24"/>
        </w:rPr>
        <w:t xml:space="preserve">and </w:t>
      </w:r>
      <w:r w:rsidR="000B3E0F" w:rsidRPr="009D11B8">
        <w:rPr>
          <w:rFonts w:cs="Times New Roman"/>
          <w:bCs w:val="0"/>
          <w:i/>
          <w:kern w:val="0"/>
          <w:szCs w:val="24"/>
        </w:rPr>
        <w:t>pilE</w:t>
      </w:r>
      <w:r w:rsidR="000B3E0F" w:rsidRPr="009D11B8">
        <w:rPr>
          <w:rFonts w:cs="Times New Roman"/>
          <w:bCs w:val="0"/>
          <w:kern w:val="0"/>
          <w:szCs w:val="24"/>
        </w:rPr>
        <w:t xml:space="preserve"> (Lane 4)</w:t>
      </w:r>
      <w:r w:rsidR="00BD4742" w:rsidRPr="009D11B8">
        <w:rPr>
          <w:rFonts w:cs="Times New Roman"/>
          <w:bCs w:val="0"/>
          <w:kern w:val="0"/>
          <w:szCs w:val="24"/>
        </w:rPr>
        <w:t xml:space="preserve"> mutants.</w:t>
      </w:r>
    </w:p>
    <w:p w:rsidR="008361C0" w:rsidRPr="009D11B8" w:rsidRDefault="003C6E94" w:rsidP="00F56F21">
      <w:pPr>
        <w:pStyle w:val="RSInstitution"/>
        <w:rPr>
          <w:rFonts w:cs="Times New Roman"/>
          <w:b/>
          <w:bCs w:val="0"/>
          <w:kern w:val="0"/>
          <w:szCs w:val="24"/>
        </w:rPr>
      </w:pPr>
      <w:r w:rsidRPr="009D11B8">
        <w:rPr>
          <w:rFonts w:cs="Times New Roman"/>
          <w:b/>
          <w:bCs w:val="0"/>
          <w:kern w:val="0"/>
          <w:szCs w:val="24"/>
        </w:rPr>
        <w:fldChar w:fldCharType="begin"/>
      </w:r>
      <w:r w:rsidRPr="009D11B8">
        <w:rPr>
          <w:rFonts w:cs="Times New Roman"/>
          <w:b/>
          <w:bCs w:val="0"/>
          <w:kern w:val="0"/>
          <w:szCs w:val="24"/>
        </w:rPr>
        <w:instrText xml:space="preserve"> ADDIN EN.REFLIST </w:instrText>
      </w:r>
      <w:r w:rsidRPr="009D11B8">
        <w:rPr>
          <w:rFonts w:cs="Times New Roman"/>
          <w:b/>
          <w:bCs w:val="0"/>
          <w:kern w:val="0"/>
          <w:szCs w:val="24"/>
        </w:rPr>
        <w:fldChar w:fldCharType="separate"/>
      </w:r>
      <w:r w:rsidRPr="009D11B8">
        <w:rPr>
          <w:rFonts w:cs="Times New Roman"/>
          <w:b/>
          <w:bCs w:val="0"/>
          <w:kern w:val="0"/>
          <w:szCs w:val="24"/>
        </w:rPr>
        <w:fldChar w:fldCharType="end"/>
      </w:r>
    </w:p>
    <w:sectPr w:rsidR="008361C0" w:rsidRPr="009D11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5zd2vxdeideva7e9pwgpd2xp2rt5t09pv5r0&quot;&gt;secretin&lt;record-ids&gt;&lt;item&gt;129&lt;/item&gt;&lt;/record-ids&gt;&lt;/item&gt;&lt;/Libraries&gt;"/>
  </w:docVars>
  <w:rsids>
    <w:rsidRoot w:val="00FC68DD"/>
    <w:rsid w:val="000054FD"/>
    <w:rsid w:val="00062E24"/>
    <w:rsid w:val="000704D6"/>
    <w:rsid w:val="00093F44"/>
    <w:rsid w:val="000B1445"/>
    <w:rsid w:val="000B3E0F"/>
    <w:rsid w:val="000E6511"/>
    <w:rsid w:val="000E67EC"/>
    <w:rsid w:val="000F3081"/>
    <w:rsid w:val="001144AF"/>
    <w:rsid w:val="00115095"/>
    <w:rsid w:val="00115F60"/>
    <w:rsid w:val="00141420"/>
    <w:rsid w:val="00141A2D"/>
    <w:rsid w:val="001677DD"/>
    <w:rsid w:val="0018258C"/>
    <w:rsid w:val="001966F2"/>
    <w:rsid w:val="001A34B9"/>
    <w:rsid w:val="001E2669"/>
    <w:rsid w:val="00295438"/>
    <w:rsid w:val="0029560A"/>
    <w:rsid w:val="002B251F"/>
    <w:rsid w:val="002C0F51"/>
    <w:rsid w:val="003014FA"/>
    <w:rsid w:val="00334C16"/>
    <w:rsid w:val="003667EF"/>
    <w:rsid w:val="00373FC2"/>
    <w:rsid w:val="003B1718"/>
    <w:rsid w:val="003C055A"/>
    <w:rsid w:val="003C6E94"/>
    <w:rsid w:val="003C74DF"/>
    <w:rsid w:val="003E62E0"/>
    <w:rsid w:val="004508ED"/>
    <w:rsid w:val="00460FD0"/>
    <w:rsid w:val="004640F4"/>
    <w:rsid w:val="004B3DE0"/>
    <w:rsid w:val="004C1DCE"/>
    <w:rsid w:val="004C496D"/>
    <w:rsid w:val="004F02CA"/>
    <w:rsid w:val="004F2CD8"/>
    <w:rsid w:val="005018A7"/>
    <w:rsid w:val="00503221"/>
    <w:rsid w:val="00533049"/>
    <w:rsid w:val="005628B0"/>
    <w:rsid w:val="00574E46"/>
    <w:rsid w:val="005A51E9"/>
    <w:rsid w:val="005B4E7B"/>
    <w:rsid w:val="005B7200"/>
    <w:rsid w:val="005F3CDA"/>
    <w:rsid w:val="005F4D98"/>
    <w:rsid w:val="005F7438"/>
    <w:rsid w:val="00620510"/>
    <w:rsid w:val="00630CE4"/>
    <w:rsid w:val="00634065"/>
    <w:rsid w:val="00644327"/>
    <w:rsid w:val="006606C0"/>
    <w:rsid w:val="006646F3"/>
    <w:rsid w:val="0067336A"/>
    <w:rsid w:val="006911F4"/>
    <w:rsid w:val="006E060C"/>
    <w:rsid w:val="006F020C"/>
    <w:rsid w:val="007218EB"/>
    <w:rsid w:val="00765226"/>
    <w:rsid w:val="0078639D"/>
    <w:rsid w:val="007C6C1A"/>
    <w:rsid w:val="007E65F8"/>
    <w:rsid w:val="008213E8"/>
    <w:rsid w:val="0083007D"/>
    <w:rsid w:val="00830BEE"/>
    <w:rsid w:val="008361C0"/>
    <w:rsid w:val="00837C5D"/>
    <w:rsid w:val="008510D3"/>
    <w:rsid w:val="0086395C"/>
    <w:rsid w:val="00877F6D"/>
    <w:rsid w:val="008B0122"/>
    <w:rsid w:val="008C36C9"/>
    <w:rsid w:val="008D1B0C"/>
    <w:rsid w:val="008E549F"/>
    <w:rsid w:val="008F4E68"/>
    <w:rsid w:val="0090783A"/>
    <w:rsid w:val="0091787A"/>
    <w:rsid w:val="00937864"/>
    <w:rsid w:val="00940B5E"/>
    <w:rsid w:val="00942D2B"/>
    <w:rsid w:val="00967828"/>
    <w:rsid w:val="00976FE0"/>
    <w:rsid w:val="009A5258"/>
    <w:rsid w:val="009A5357"/>
    <w:rsid w:val="009D11B8"/>
    <w:rsid w:val="00A36285"/>
    <w:rsid w:val="00A43972"/>
    <w:rsid w:val="00A52472"/>
    <w:rsid w:val="00A556FE"/>
    <w:rsid w:val="00A73C94"/>
    <w:rsid w:val="00A97BC5"/>
    <w:rsid w:val="00AB1466"/>
    <w:rsid w:val="00AD1B6C"/>
    <w:rsid w:val="00AF4688"/>
    <w:rsid w:val="00B42830"/>
    <w:rsid w:val="00B47FD0"/>
    <w:rsid w:val="00B72550"/>
    <w:rsid w:val="00B752CF"/>
    <w:rsid w:val="00B75E98"/>
    <w:rsid w:val="00BD4742"/>
    <w:rsid w:val="00BF739B"/>
    <w:rsid w:val="00C1233F"/>
    <w:rsid w:val="00C222E5"/>
    <w:rsid w:val="00C64B38"/>
    <w:rsid w:val="00C7452A"/>
    <w:rsid w:val="00CA13A0"/>
    <w:rsid w:val="00CC6F73"/>
    <w:rsid w:val="00CF1602"/>
    <w:rsid w:val="00CF476E"/>
    <w:rsid w:val="00CF5E12"/>
    <w:rsid w:val="00D03CD7"/>
    <w:rsid w:val="00D16B46"/>
    <w:rsid w:val="00D24421"/>
    <w:rsid w:val="00D507F6"/>
    <w:rsid w:val="00D738A3"/>
    <w:rsid w:val="00D763B3"/>
    <w:rsid w:val="00D8035C"/>
    <w:rsid w:val="00D926CD"/>
    <w:rsid w:val="00E062FA"/>
    <w:rsid w:val="00E07CBE"/>
    <w:rsid w:val="00E13219"/>
    <w:rsid w:val="00E36A1F"/>
    <w:rsid w:val="00E91E6E"/>
    <w:rsid w:val="00E96D11"/>
    <w:rsid w:val="00EC4856"/>
    <w:rsid w:val="00EE4B3F"/>
    <w:rsid w:val="00EF19A8"/>
    <w:rsid w:val="00EF4A45"/>
    <w:rsid w:val="00EF6D33"/>
    <w:rsid w:val="00F13077"/>
    <w:rsid w:val="00F33324"/>
    <w:rsid w:val="00F47B6C"/>
    <w:rsid w:val="00F56F21"/>
    <w:rsid w:val="00F612A2"/>
    <w:rsid w:val="00F9339A"/>
    <w:rsid w:val="00F95C51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8D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SInstitution">
    <w:name w:val="RS_Institution"/>
    <w:basedOn w:val="Title"/>
    <w:rsid w:val="00FC68DD"/>
    <w:rPr>
      <w:rFonts w:ascii="Times New Roman" w:hAnsi="Times New Roman"/>
      <w:b w:val="0"/>
      <w:sz w:val="24"/>
    </w:rPr>
  </w:style>
  <w:style w:type="paragraph" w:styleId="Title">
    <w:name w:val="Title"/>
    <w:basedOn w:val="Normal"/>
    <w:qFormat/>
    <w:rsid w:val="00FC68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SFigures">
    <w:name w:val="RS_Figures"/>
    <w:basedOn w:val="Normal"/>
    <w:rsid w:val="00FC68DD"/>
  </w:style>
  <w:style w:type="character" w:styleId="Strong">
    <w:name w:val="Strong"/>
    <w:basedOn w:val="DefaultParagraphFont"/>
    <w:qFormat/>
    <w:rsid w:val="00FC68DD"/>
    <w:rPr>
      <w:b/>
      <w:bCs/>
    </w:rPr>
  </w:style>
  <w:style w:type="character" w:styleId="Hyperlink">
    <w:name w:val="Hyperlink"/>
    <w:basedOn w:val="DefaultParagraphFont"/>
    <w:rsid w:val="000B3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>MPI Marburg</Company>
  <LinksUpToDate>false</LinksUpToDate>
  <CharactersWithSpaces>673</CharactersWithSpaces>
  <SharedDoc>false</SharedDoc>
  <HLinks>
    <vt:vector size="6" baseType="variant"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/>
  <dc:creator>jain</dc:creator>
  <cp:keywords/>
  <cp:lastModifiedBy>does</cp:lastModifiedBy>
  <cp:revision>2</cp:revision>
  <dcterms:created xsi:type="dcterms:W3CDTF">2011-01-12T14:06:00Z</dcterms:created>
  <dcterms:modified xsi:type="dcterms:W3CDTF">2011-01-12T14:06:00Z</dcterms:modified>
</cp:coreProperties>
</file>