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81" w:rsidRPr="00272202" w:rsidRDefault="008E3081" w:rsidP="008E3081">
      <w:pPr>
        <w:spacing w:after="160" w:line="480" w:lineRule="auto"/>
        <w:rPr>
          <w:rFonts w:ascii="Times New Roman" w:eastAsia="맑은 고딕" w:hAnsi="Times New Roman" w:cs="Times New Roman"/>
          <w:sz w:val="22"/>
        </w:rPr>
      </w:pPr>
      <w:r>
        <w:rPr>
          <w:noProof/>
        </w:rPr>
        <w:drawing>
          <wp:inline distT="0" distB="0" distL="0" distR="0" wp14:anchorId="1C77EEC8" wp14:editId="40102C3F">
            <wp:extent cx="2829600" cy="2736000"/>
            <wp:effectExtent l="0" t="0" r="8890" b="762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00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7E5290" wp14:editId="54324ACF">
            <wp:extent cx="2836800" cy="2700000"/>
            <wp:effectExtent l="0" t="0" r="1905" b="571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6CC1A4" wp14:editId="6F4D6D44">
            <wp:extent cx="2821378" cy="2736000"/>
            <wp:effectExtent l="0" t="0" r="0" b="762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78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65CEDB" wp14:editId="44BD527E">
            <wp:extent cx="2808000" cy="275040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27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081" w:rsidRDefault="008E3081" w:rsidP="008E3081">
      <w:pPr>
        <w:spacing w:after="160" w:line="480" w:lineRule="auto"/>
        <w:rPr>
          <w:rFonts w:ascii="Times New Roman" w:eastAsia="맑은 고딕" w:hAnsi="Times New Roman" w:cs="Times New Roman"/>
          <w:sz w:val="22"/>
        </w:rPr>
      </w:pPr>
      <w:proofErr w:type="gramStart"/>
      <w:r w:rsidRPr="00272202">
        <w:rPr>
          <w:rFonts w:ascii="Times New Roman" w:eastAsia="맑은 고딕" w:hAnsi="Times New Roman" w:cs="Times New Roman"/>
          <w:sz w:val="22"/>
        </w:rPr>
        <w:t>Supp</w:t>
      </w:r>
      <w:r>
        <w:rPr>
          <w:rFonts w:ascii="Times New Roman" w:eastAsia="맑은 고딕" w:hAnsi="Times New Roman" w:cs="Times New Roman"/>
          <w:sz w:val="22"/>
        </w:rPr>
        <w:t>orting</w:t>
      </w:r>
      <w:r w:rsidR="00075F26">
        <w:rPr>
          <w:rFonts w:ascii="Times New Roman" w:eastAsia="맑은 고딕" w:hAnsi="Times New Roman" w:cs="Times New Roman"/>
          <w:sz w:val="22"/>
        </w:rPr>
        <w:t xml:space="preserve"> Fig </w:t>
      </w:r>
      <w:r w:rsidR="00075F26" w:rsidRPr="00075F26">
        <w:rPr>
          <w:rFonts w:ascii="Times New Roman" w:eastAsia="맑은 고딕" w:hAnsi="Times New Roman" w:cs="Times New Roman" w:hint="eastAsia"/>
          <w:sz w:val="22"/>
          <w:highlight w:val="yellow"/>
        </w:rPr>
        <w:t>3</w:t>
      </w:r>
      <w:r w:rsidRPr="00272202">
        <w:rPr>
          <w:rFonts w:ascii="Times New Roman" w:eastAsia="맑은 고딕" w:hAnsi="Times New Roman" w:cs="Times New Roman"/>
          <w:sz w:val="22"/>
        </w:rPr>
        <w:t>.</w:t>
      </w:r>
      <w:proofErr w:type="gramEnd"/>
      <w:r w:rsidRPr="00272202">
        <w:rPr>
          <w:rFonts w:ascii="Times New Roman" w:eastAsia="맑은 고딕" w:hAnsi="Times New Roman" w:cs="Times New Roman"/>
          <w:sz w:val="22"/>
        </w:rPr>
        <w:t xml:space="preserve"> Subgroup analyses of the disease-free survival of 250 patients with lymph node-positive breast cancer according to preoperative systemic inflammatory markers. An elevated neutrophil-lymphocyte ratio (NLR) (A), derived neutrophil-lymphocyte ratio (</w:t>
      </w:r>
      <w:proofErr w:type="spellStart"/>
      <w:r w:rsidRPr="00272202">
        <w:rPr>
          <w:rFonts w:ascii="Times New Roman" w:eastAsia="맑은 고딕" w:hAnsi="Times New Roman" w:cs="Times New Roman"/>
          <w:sz w:val="22"/>
        </w:rPr>
        <w:t>dNLR</w:t>
      </w:r>
      <w:proofErr w:type="spellEnd"/>
      <w:r w:rsidRPr="00272202">
        <w:rPr>
          <w:rFonts w:ascii="Times New Roman" w:eastAsia="맑은 고딕" w:hAnsi="Times New Roman" w:cs="Times New Roman"/>
          <w:sz w:val="22"/>
        </w:rPr>
        <w:t>) (B), and platelet-lymphocyte ratio (PLR)</w:t>
      </w:r>
      <w:r w:rsidR="00075F26" w:rsidRPr="00075F26">
        <w:rPr>
          <w:rFonts w:ascii="Times New Roman" w:eastAsia="맑은 고딕" w:hAnsi="Times New Roman" w:cs="Times New Roman"/>
          <w:sz w:val="22"/>
        </w:rPr>
        <w:t xml:space="preserve"> </w:t>
      </w:r>
      <w:r w:rsidR="00075F26" w:rsidRPr="00075F26">
        <w:rPr>
          <w:rFonts w:ascii="Times New Roman" w:eastAsia="맑은 고딕" w:hAnsi="Times New Roman" w:cs="Times New Roman"/>
          <w:sz w:val="22"/>
          <w:highlight w:val="yellow"/>
        </w:rPr>
        <w:t>(C)</w:t>
      </w:r>
      <w:r w:rsidRPr="00272202">
        <w:rPr>
          <w:rFonts w:ascii="Times New Roman" w:eastAsia="맑은 고딕" w:hAnsi="Times New Roman" w:cs="Times New Roman"/>
          <w:sz w:val="22"/>
        </w:rPr>
        <w:t xml:space="preserve"> predicted poor disease-free survival following surgical resection. A low lymphocyte-monocyte ratio (LMR) </w:t>
      </w:r>
      <w:r w:rsidRPr="00075F26">
        <w:rPr>
          <w:rFonts w:ascii="Times New Roman" w:eastAsia="맑은 고딕" w:hAnsi="Times New Roman" w:cs="Times New Roman"/>
          <w:sz w:val="22"/>
          <w:highlight w:val="yellow"/>
        </w:rPr>
        <w:t>(D)</w:t>
      </w:r>
      <w:r w:rsidRPr="00272202">
        <w:rPr>
          <w:rFonts w:ascii="Times New Roman" w:eastAsia="맑은 고딕" w:hAnsi="Times New Roman" w:cs="Times New Roman"/>
          <w:sz w:val="22"/>
        </w:rPr>
        <w:t xml:space="preserve"> predicted poor disease-free survival. </w:t>
      </w:r>
    </w:p>
    <w:p w:rsidR="008E3081" w:rsidRPr="008E3081" w:rsidRDefault="008E3081">
      <w:bookmarkStart w:id="0" w:name="_GoBack"/>
      <w:bookmarkEnd w:id="0"/>
    </w:p>
    <w:sectPr w:rsidR="008E3081" w:rsidRPr="008E30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81"/>
    <w:rsid w:val="00075F26"/>
    <w:rsid w:val="008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62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81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5F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75F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81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5F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75F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조의주</dc:creator>
  <cp:keywords/>
  <dc:description/>
  <cp:lastModifiedBy>600G1</cp:lastModifiedBy>
  <cp:revision>2</cp:revision>
  <dcterms:created xsi:type="dcterms:W3CDTF">2018-04-08T07:00:00Z</dcterms:created>
  <dcterms:modified xsi:type="dcterms:W3CDTF">2018-04-12T01:10:00Z</dcterms:modified>
</cp:coreProperties>
</file>