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5E" w:rsidRPr="00D13900" w:rsidRDefault="008F6B2D">
      <w:pPr>
        <w:rPr>
          <w:rFonts w:ascii="Times New Roman" w:hAnsi="Times New Roman" w:cs="Times New Roman"/>
          <w:sz w:val="24"/>
          <w:szCs w:val="24"/>
        </w:rPr>
      </w:pPr>
      <w:r w:rsidRPr="00575025">
        <w:rPr>
          <w:rFonts w:ascii="Times New Roman" w:hAnsi="Times New Roman" w:cs="Times New Roman"/>
          <w:b/>
          <w:sz w:val="24"/>
          <w:szCs w:val="24"/>
        </w:rPr>
        <w:t>S</w:t>
      </w:r>
      <w:r w:rsidR="006553BA">
        <w:rPr>
          <w:rFonts w:ascii="Times New Roman" w:hAnsi="Times New Roman" w:cs="Times New Roman"/>
          <w:b/>
          <w:sz w:val="24"/>
          <w:szCs w:val="24"/>
        </w:rPr>
        <w:t>3</w:t>
      </w:r>
      <w:r w:rsidRPr="00575025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Start w:id="0" w:name="_GoBack"/>
      <w:bookmarkEnd w:id="0"/>
      <w:r w:rsidR="00C62DA4" w:rsidRPr="00575025">
        <w:rPr>
          <w:rFonts w:ascii="Times New Roman" w:hAnsi="Times New Roman" w:cs="Times New Roman"/>
          <w:b/>
          <w:sz w:val="24"/>
          <w:szCs w:val="24"/>
        </w:rPr>
        <w:t>.</w:t>
      </w:r>
      <w:r w:rsidR="0065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B9" w:rsidRPr="00D13900">
        <w:rPr>
          <w:rFonts w:ascii="Times New Roman" w:hAnsi="Times New Roman" w:cs="Times New Roman"/>
          <w:sz w:val="24"/>
          <w:szCs w:val="24"/>
        </w:rPr>
        <w:t xml:space="preserve">Change in </w:t>
      </w:r>
      <w:r w:rsidR="00861989" w:rsidRPr="00D13900">
        <w:rPr>
          <w:rFonts w:ascii="Times New Roman" w:hAnsi="Times New Roman" w:cs="Times New Roman"/>
          <w:sz w:val="24"/>
          <w:szCs w:val="24"/>
        </w:rPr>
        <w:t xml:space="preserve">mRNA </w:t>
      </w:r>
      <w:r w:rsidR="005161B9" w:rsidRPr="00D13900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050063">
        <w:rPr>
          <w:rFonts w:ascii="Times New Roman" w:hAnsi="Times New Roman" w:cs="Times New Roman"/>
          <w:sz w:val="24"/>
          <w:szCs w:val="24"/>
        </w:rPr>
        <w:t xml:space="preserve">of NRs after </w:t>
      </w:r>
      <w:proofErr w:type="spellStart"/>
      <w:r w:rsidR="00050063">
        <w:rPr>
          <w:rFonts w:ascii="Times New Roman" w:hAnsi="Times New Roman" w:cs="Times New Roman"/>
          <w:sz w:val="24"/>
          <w:szCs w:val="24"/>
        </w:rPr>
        <w:t>h</w:t>
      </w:r>
      <w:r w:rsidR="00861989" w:rsidRPr="00D13900">
        <w:rPr>
          <w:rFonts w:ascii="Times New Roman" w:hAnsi="Times New Roman" w:cs="Times New Roman"/>
          <w:sz w:val="24"/>
          <w:szCs w:val="24"/>
        </w:rPr>
        <w:t>ADSC</w:t>
      </w:r>
      <w:proofErr w:type="spellEnd"/>
      <w:r w:rsidR="00861989" w:rsidRPr="00D13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89" w:rsidRPr="00D13900">
        <w:rPr>
          <w:rFonts w:ascii="Times New Roman" w:hAnsi="Times New Roman" w:cs="Times New Roman"/>
          <w:sz w:val="24"/>
          <w:szCs w:val="24"/>
        </w:rPr>
        <w:t>differentiation</w:t>
      </w:r>
      <w:r w:rsidR="001D3FB1" w:rsidRPr="00D13900">
        <w:rPr>
          <w:rFonts w:ascii="Times New Roman" w:hAnsi="Times New Roman" w:cs="Times New Roman"/>
          <w:sz w:val="24"/>
          <w:szCs w:val="24"/>
        </w:rPr>
        <w:t>.In</w:t>
      </w:r>
      <w:proofErr w:type="spellEnd"/>
      <w:r w:rsidR="001D3FB1" w:rsidRPr="00D13900">
        <w:rPr>
          <w:rFonts w:ascii="Times New Roman" w:hAnsi="Times New Roman" w:cs="Times New Roman"/>
          <w:sz w:val="24"/>
          <w:szCs w:val="24"/>
        </w:rPr>
        <w:t xml:space="preserve"> the Nuclear receptors and </w:t>
      </w:r>
      <w:proofErr w:type="spellStart"/>
      <w:r w:rsidR="001D3FB1" w:rsidRPr="00D13900">
        <w:rPr>
          <w:rFonts w:ascii="Times New Roman" w:hAnsi="Times New Roman" w:cs="Times New Roman"/>
          <w:sz w:val="24"/>
          <w:szCs w:val="24"/>
        </w:rPr>
        <w:t>coregulators</w:t>
      </w:r>
      <w:proofErr w:type="spellEnd"/>
      <w:r w:rsidR="001D3FB1" w:rsidRPr="00D13900">
        <w:rPr>
          <w:rFonts w:ascii="Times New Roman" w:hAnsi="Times New Roman" w:cs="Times New Roman"/>
          <w:sz w:val="24"/>
          <w:szCs w:val="24"/>
        </w:rPr>
        <w:t xml:space="preserve"> PCR array, fold </w:t>
      </w:r>
      <w:r w:rsidR="00050063">
        <w:rPr>
          <w:rFonts w:ascii="Times New Roman" w:hAnsi="Times New Roman" w:cs="Times New Roman"/>
          <w:sz w:val="24"/>
          <w:szCs w:val="24"/>
        </w:rPr>
        <w:t xml:space="preserve">expression differences between </w:t>
      </w:r>
      <w:proofErr w:type="spellStart"/>
      <w:r w:rsidR="00050063">
        <w:rPr>
          <w:rFonts w:ascii="Times New Roman" w:hAnsi="Times New Roman" w:cs="Times New Roman"/>
          <w:sz w:val="24"/>
          <w:szCs w:val="24"/>
        </w:rPr>
        <w:t>h</w:t>
      </w:r>
      <w:r w:rsidR="001D3FB1" w:rsidRPr="00D13900">
        <w:rPr>
          <w:rFonts w:ascii="Times New Roman" w:hAnsi="Times New Roman" w:cs="Times New Roman"/>
          <w:sz w:val="24"/>
          <w:szCs w:val="24"/>
        </w:rPr>
        <w:t>ADSC</w:t>
      </w:r>
      <w:proofErr w:type="spellEnd"/>
      <w:r w:rsidR="001D3FB1" w:rsidRPr="00D13900">
        <w:rPr>
          <w:rFonts w:ascii="Times New Roman" w:hAnsi="Times New Roman" w:cs="Times New Roman"/>
          <w:sz w:val="24"/>
          <w:szCs w:val="24"/>
        </w:rPr>
        <w:t xml:space="preserve"> and differentiated cells were analyzed through the SA Biosciences Web page. All experiments were run in triplicates.</w:t>
      </w:r>
    </w:p>
    <w:p w:rsidR="005A755E" w:rsidRPr="00D13900" w:rsidRDefault="005A75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2070"/>
        <w:gridCol w:w="2250"/>
        <w:gridCol w:w="1926"/>
      </w:tblGrid>
      <w:tr w:rsidR="0002233B" w:rsidRPr="00D13900" w:rsidTr="00D13900">
        <w:trPr>
          <w:trHeight w:val="576"/>
        </w:trPr>
        <w:tc>
          <w:tcPr>
            <w:tcW w:w="2250" w:type="dxa"/>
            <w:tcBorders>
              <w:top w:val="thickThinLargeGap" w:sz="24" w:space="0" w:color="auto"/>
            </w:tcBorders>
            <w:shd w:val="clear" w:color="auto" w:fill="DBDBDB" w:themeFill="accent3" w:themeFillTint="66"/>
            <w:vAlign w:val="center"/>
          </w:tcPr>
          <w:p w:rsidR="0002233B" w:rsidRPr="00D13900" w:rsidRDefault="0002233B">
            <w:pPr>
              <w:rPr>
                <w:rFonts w:ascii="Times New Roman" w:hAnsi="Times New Roman" w:cs="Times New Roman"/>
                <w:b/>
              </w:rPr>
            </w:pPr>
            <w:r w:rsidRPr="00D13900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070" w:type="dxa"/>
            <w:tcBorders>
              <w:top w:val="thickThinLargeGap" w:sz="24" w:space="0" w:color="auto"/>
            </w:tcBorders>
            <w:shd w:val="clear" w:color="auto" w:fill="DBDBDB" w:themeFill="accent3" w:themeFillTint="66"/>
            <w:vAlign w:val="center"/>
          </w:tcPr>
          <w:p w:rsidR="0002233B" w:rsidRPr="00D13900" w:rsidRDefault="0002233B" w:rsidP="00555EB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13900">
              <w:rPr>
                <w:rFonts w:ascii="Times New Roman" w:hAnsi="Times New Roman" w:cs="Times New Roman"/>
                <w:b/>
              </w:rPr>
              <w:t>Adipogenesis</w:t>
            </w:r>
            <w:proofErr w:type="spellEnd"/>
            <w:r w:rsidRPr="00D13900">
              <w:rPr>
                <w:rFonts w:ascii="Times New Roman" w:hAnsi="Times New Roman" w:cs="Times New Roman"/>
                <w:b/>
              </w:rPr>
              <w:t xml:space="preserve"> (FC)</w:t>
            </w:r>
          </w:p>
        </w:tc>
        <w:tc>
          <w:tcPr>
            <w:tcW w:w="2250" w:type="dxa"/>
            <w:tcBorders>
              <w:top w:val="thickThinLargeGap" w:sz="24" w:space="0" w:color="auto"/>
            </w:tcBorders>
            <w:shd w:val="clear" w:color="auto" w:fill="DBDBDB" w:themeFill="accent3" w:themeFillTint="66"/>
            <w:vAlign w:val="center"/>
          </w:tcPr>
          <w:p w:rsidR="0002233B" w:rsidRPr="00D13900" w:rsidRDefault="0002233B" w:rsidP="00555EB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13900">
              <w:rPr>
                <w:rFonts w:ascii="Times New Roman" w:hAnsi="Times New Roman" w:cs="Times New Roman"/>
                <w:b/>
              </w:rPr>
              <w:t>Chondrogenesis</w:t>
            </w:r>
            <w:proofErr w:type="spellEnd"/>
            <w:r w:rsidRPr="00D13900">
              <w:rPr>
                <w:rFonts w:ascii="Times New Roman" w:hAnsi="Times New Roman" w:cs="Times New Roman"/>
                <w:b/>
              </w:rPr>
              <w:t xml:space="preserve"> (FC)</w:t>
            </w:r>
          </w:p>
        </w:tc>
        <w:tc>
          <w:tcPr>
            <w:tcW w:w="1926" w:type="dxa"/>
            <w:tcBorders>
              <w:top w:val="thickThinLargeGap" w:sz="24" w:space="0" w:color="auto"/>
            </w:tcBorders>
            <w:shd w:val="clear" w:color="auto" w:fill="DBDBDB" w:themeFill="accent3" w:themeFillTint="66"/>
            <w:vAlign w:val="center"/>
          </w:tcPr>
          <w:p w:rsidR="0002233B" w:rsidRPr="00D13900" w:rsidRDefault="0002233B" w:rsidP="00555EB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13900">
              <w:rPr>
                <w:rFonts w:ascii="Times New Roman" w:hAnsi="Times New Roman" w:cs="Times New Roman"/>
                <w:b/>
              </w:rPr>
              <w:t>Osteogenesis</w:t>
            </w:r>
            <w:proofErr w:type="spellEnd"/>
            <w:r w:rsidRPr="00D13900">
              <w:rPr>
                <w:rFonts w:ascii="Times New Roman" w:hAnsi="Times New Roman" w:cs="Times New Roman"/>
                <w:b/>
              </w:rPr>
              <w:t xml:space="preserve"> (FC)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5A755E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RXRA</w:t>
            </w:r>
            <w:r w:rsidR="00016DF0" w:rsidRPr="00D13900">
              <w:rPr>
                <w:rFonts w:ascii="Times New Roman" w:hAnsi="Times New Roman" w:cs="Times New Roman"/>
              </w:rPr>
              <w:t xml:space="preserve"> (</w:t>
            </w:r>
            <w:r w:rsidR="00016DF0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NR2B1)</w:t>
            </w:r>
          </w:p>
        </w:tc>
        <w:tc>
          <w:tcPr>
            <w:tcW w:w="2070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4.0454</w:t>
            </w:r>
          </w:p>
        </w:tc>
        <w:tc>
          <w:tcPr>
            <w:tcW w:w="2250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4.132</w:t>
            </w:r>
          </w:p>
        </w:tc>
        <w:tc>
          <w:tcPr>
            <w:tcW w:w="1926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6.2745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016DF0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 xml:space="preserve">COUP-TFI </w:t>
            </w:r>
            <w:r w:rsidR="005A755E" w:rsidRPr="00D13900">
              <w:rPr>
                <w:rFonts w:ascii="Times New Roman" w:hAnsi="Times New Roman" w:cs="Times New Roman"/>
              </w:rPr>
              <w:t>(</w:t>
            </w:r>
            <w:r w:rsidRPr="00D13900">
              <w:rPr>
                <w:rFonts w:ascii="Times New Roman" w:hAnsi="Times New Roman" w:cs="Times New Roman"/>
              </w:rPr>
              <w:t>NR2F1</w:t>
            </w:r>
            <w:r w:rsidR="005A755E" w:rsidRPr="00D13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4.0217</w:t>
            </w:r>
          </w:p>
        </w:tc>
        <w:tc>
          <w:tcPr>
            <w:tcW w:w="2250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3.5743</w:t>
            </w:r>
          </w:p>
        </w:tc>
        <w:tc>
          <w:tcPr>
            <w:tcW w:w="1926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8.8581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5A755E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THRB</w:t>
            </w:r>
            <w:r w:rsidR="001428BE" w:rsidRPr="00D13900">
              <w:rPr>
                <w:rFonts w:ascii="Times New Roman" w:hAnsi="Times New Roman" w:cs="Times New Roman"/>
              </w:rPr>
              <w:t xml:space="preserve"> (</w:t>
            </w:r>
            <w:r w:rsidR="001428BE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NR1A2)</w:t>
            </w:r>
          </w:p>
        </w:tc>
        <w:tc>
          <w:tcPr>
            <w:tcW w:w="2070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6.2454</w:t>
            </w:r>
          </w:p>
        </w:tc>
        <w:tc>
          <w:tcPr>
            <w:tcW w:w="2250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17.3797</w:t>
            </w:r>
          </w:p>
        </w:tc>
        <w:tc>
          <w:tcPr>
            <w:tcW w:w="1926" w:type="dxa"/>
          </w:tcPr>
          <w:p w:rsidR="005A755E" w:rsidRPr="00D13900" w:rsidRDefault="005A755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13.1046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30747E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RARG</w:t>
            </w:r>
            <w:r w:rsidR="001428BE" w:rsidRPr="00D13900">
              <w:rPr>
                <w:rFonts w:ascii="Times New Roman" w:hAnsi="Times New Roman" w:cs="Times New Roman"/>
              </w:rPr>
              <w:t xml:space="preserve"> (</w:t>
            </w:r>
            <w:r w:rsidR="001428BE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NR1B3)</w:t>
            </w:r>
          </w:p>
        </w:tc>
        <w:tc>
          <w:tcPr>
            <w:tcW w:w="2070" w:type="dxa"/>
          </w:tcPr>
          <w:p w:rsidR="005A755E" w:rsidRPr="00D13900" w:rsidRDefault="0030747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-4.6178</w:t>
            </w:r>
          </w:p>
        </w:tc>
        <w:tc>
          <w:tcPr>
            <w:tcW w:w="2250" w:type="dxa"/>
          </w:tcPr>
          <w:p w:rsidR="005A755E" w:rsidRPr="00D13900" w:rsidRDefault="0030747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-3.1037</w:t>
            </w:r>
          </w:p>
        </w:tc>
        <w:tc>
          <w:tcPr>
            <w:tcW w:w="1926" w:type="dxa"/>
          </w:tcPr>
          <w:p w:rsidR="005A755E" w:rsidRPr="00D13900" w:rsidRDefault="0030747E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-2.211</w:t>
            </w:r>
            <w:r w:rsidR="00555EB9" w:rsidRPr="00D13900"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C5774D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RARB</w:t>
            </w:r>
            <w:r w:rsidR="001428BE" w:rsidRPr="00D13900">
              <w:rPr>
                <w:rFonts w:ascii="Times New Roman" w:hAnsi="Times New Roman" w:cs="Times New Roman"/>
              </w:rPr>
              <w:t xml:space="preserve"> (</w:t>
            </w:r>
            <w:r w:rsidR="001428BE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NR1B2</w:t>
            </w:r>
            <w:r w:rsidR="001428BE" w:rsidRPr="00D13900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070" w:type="dxa"/>
          </w:tcPr>
          <w:p w:rsidR="005A755E" w:rsidRPr="00D13900" w:rsidRDefault="00C5774D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6.1254</w:t>
            </w:r>
          </w:p>
        </w:tc>
        <w:tc>
          <w:tcPr>
            <w:tcW w:w="2250" w:type="dxa"/>
          </w:tcPr>
          <w:p w:rsidR="005A755E" w:rsidRPr="00D13900" w:rsidRDefault="00C5774D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3.9614</w:t>
            </w:r>
          </w:p>
        </w:tc>
        <w:tc>
          <w:tcPr>
            <w:tcW w:w="1926" w:type="dxa"/>
          </w:tcPr>
          <w:p w:rsidR="005A755E" w:rsidRPr="00D13900" w:rsidRDefault="00C5774D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-1.0009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C5774D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RORA</w:t>
            </w:r>
            <w:r w:rsidR="00677BFE" w:rsidRPr="00D13900">
              <w:rPr>
                <w:rFonts w:ascii="Times New Roman" w:hAnsi="Times New Roman" w:cs="Times New Roman"/>
              </w:rPr>
              <w:t xml:space="preserve"> (</w:t>
            </w:r>
            <w:r w:rsidR="00677BFE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NR1F1)</w:t>
            </w:r>
          </w:p>
        </w:tc>
        <w:tc>
          <w:tcPr>
            <w:tcW w:w="2070" w:type="dxa"/>
          </w:tcPr>
          <w:p w:rsidR="005A755E" w:rsidRPr="00D13900" w:rsidRDefault="00C5774D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2.3179</w:t>
            </w:r>
          </w:p>
        </w:tc>
        <w:tc>
          <w:tcPr>
            <w:tcW w:w="2250" w:type="dxa"/>
          </w:tcPr>
          <w:p w:rsidR="005A755E" w:rsidRPr="00D13900" w:rsidRDefault="00C5774D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4.1583</w:t>
            </w:r>
          </w:p>
        </w:tc>
        <w:tc>
          <w:tcPr>
            <w:tcW w:w="1926" w:type="dxa"/>
          </w:tcPr>
          <w:p w:rsidR="005A755E" w:rsidRPr="00D13900" w:rsidRDefault="00C5774D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1.4426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DC49DC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PPARG</w:t>
            </w:r>
            <w:r w:rsidR="00D76F5D" w:rsidRPr="00D13900">
              <w:rPr>
                <w:rFonts w:ascii="Times New Roman" w:hAnsi="Times New Roman" w:cs="Times New Roman"/>
              </w:rPr>
              <w:t xml:space="preserve"> (</w:t>
            </w:r>
            <w:r w:rsidR="00D76F5D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NR1C3)</w:t>
            </w:r>
          </w:p>
        </w:tc>
        <w:tc>
          <w:tcPr>
            <w:tcW w:w="2070" w:type="dxa"/>
          </w:tcPr>
          <w:p w:rsidR="005A755E" w:rsidRPr="00D13900" w:rsidRDefault="00DC49DC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29.6056</w:t>
            </w:r>
          </w:p>
        </w:tc>
        <w:tc>
          <w:tcPr>
            <w:tcW w:w="2250" w:type="dxa"/>
          </w:tcPr>
          <w:p w:rsidR="005A755E" w:rsidRPr="00D13900" w:rsidRDefault="00DC49DC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1.7996</w:t>
            </w:r>
          </w:p>
        </w:tc>
        <w:tc>
          <w:tcPr>
            <w:tcW w:w="1926" w:type="dxa"/>
          </w:tcPr>
          <w:p w:rsidR="005A755E" w:rsidRPr="00D13900" w:rsidRDefault="00DC49DC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4.229</w:t>
            </w:r>
            <w:r w:rsidR="00555EB9" w:rsidRPr="00D13900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D76F5D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GR (</w:t>
            </w:r>
            <w:r w:rsidR="00E63C35" w:rsidRPr="00D13900">
              <w:rPr>
                <w:rFonts w:ascii="Times New Roman" w:hAnsi="Times New Roman" w:cs="Times New Roman"/>
              </w:rPr>
              <w:t>NR3C1)</w:t>
            </w:r>
          </w:p>
        </w:tc>
        <w:tc>
          <w:tcPr>
            <w:tcW w:w="207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-1.4781</w:t>
            </w:r>
          </w:p>
        </w:tc>
        <w:tc>
          <w:tcPr>
            <w:tcW w:w="225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-2.5312</w:t>
            </w:r>
          </w:p>
        </w:tc>
        <w:tc>
          <w:tcPr>
            <w:tcW w:w="1926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-3.91</w:t>
            </w:r>
            <w:r w:rsidR="00555EB9" w:rsidRPr="00D13900">
              <w:rPr>
                <w:rFonts w:ascii="Times New Roman" w:hAnsi="Times New Roman" w:cs="Times New Roman"/>
                <w:color w:val="0070C0"/>
              </w:rPr>
              <w:t>01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733340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AR</w:t>
            </w:r>
            <w:r w:rsidR="00E33B62" w:rsidRPr="00D13900">
              <w:rPr>
                <w:rFonts w:ascii="Times New Roman" w:hAnsi="Times New Roman" w:cs="Times New Roman"/>
              </w:rPr>
              <w:t xml:space="preserve"> (</w:t>
            </w:r>
            <w:r w:rsidR="00E33B62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NR3C4)</w:t>
            </w:r>
          </w:p>
        </w:tc>
        <w:tc>
          <w:tcPr>
            <w:tcW w:w="2070" w:type="dxa"/>
          </w:tcPr>
          <w:p w:rsidR="005A755E" w:rsidRPr="00D13900" w:rsidRDefault="00733340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2.8487</w:t>
            </w:r>
          </w:p>
        </w:tc>
        <w:tc>
          <w:tcPr>
            <w:tcW w:w="2250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-1.6546</w:t>
            </w:r>
          </w:p>
        </w:tc>
        <w:tc>
          <w:tcPr>
            <w:tcW w:w="1926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1.5013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733340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ESRRA</w:t>
            </w:r>
            <w:r w:rsidR="00E33B62" w:rsidRPr="00D13900">
              <w:rPr>
                <w:rFonts w:ascii="Times New Roman" w:hAnsi="Times New Roman" w:cs="Times New Roman"/>
              </w:rPr>
              <w:t xml:space="preserve"> (</w:t>
            </w:r>
            <w:r w:rsidR="00E33B62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NR3B1)</w:t>
            </w:r>
          </w:p>
        </w:tc>
        <w:tc>
          <w:tcPr>
            <w:tcW w:w="2070" w:type="dxa"/>
          </w:tcPr>
          <w:p w:rsidR="005A755E" w:rsidRPr="00D13900" w:rsidRDefault="00733340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2.7138</w:t>
            </w:r>
          </w:p>
        </w:tc>
        <w:tc>
          <w:tcPr>
            <w:tcW w:w="2250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-1.4639</w:t>
            </w:r>
          </w:p>
        </w:tc>
        <w:tc>
          <w:tcPr>
            <w:tcW w:w="1926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-1.3824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E33B62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LXR (NR1H3</w:t>
            </w:r>
            <w:r w:rsidR="00733340" w:rsidRPr="00D13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5A755E" w:rsidRPr="00D13900" w:rsidRDefault="00733340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15.0929</w:t>
            </w:r>
          </w:p>
        </w:tc>
        <w:tc>
          <w:tcPr>
            <w:tcW w:w="2250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-1.5287</w:t>
            </w:r>
          </w:p>
        </w:tc>
        <w:tc>
          <w:tcPr>
            <w:tcW w:w="1926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-2.051</w:t>
            </w:r>
            <w:r w:rsidR="00555EB9" w:rsidRPr="00D13900">
              <w:rPr>
                <w:rFonts w:ascii="Times New Roman" w:hAnsi="Times New Roman" w:cs="Times New Roman"/>
              </w:rPr>
              <w:t>1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733340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PPARA</w:t>
            </w:r>
            <w:r w:rsidR="00767149" w:rsidRPr="00D13900">
              <w:rPr>
                <w:rFonts w:ascii="Times New Roman" w:hAnsi="Times New Roman" w:cs="Times New Roman"/>
              </w:rPr>
              <w:t xml:space="preserve"> (</w:t>
            </w:r>
            <w:r w:rsidR="00767149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NR1C1)</w:t>
            </w:r>
          </w:p>
        </w:tc>
        <w:tc>
          <w:tcPr>
            <w:tcW w:w="2070" w:type="dxa"/>
          </w:tcPr>
          <w:p w:rsidR="005A755E" w:rsidRPr="00D13900" w:rsidRDefault="00733340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2.5032</w:t>
            </w:r>
          </w:p>
        </w:tc>
        <w:tc>
          <w:tcPr>
            <w:tcW w:w="2250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1.5996</w:t>
            </w:r>
          </w:p>
        </w:tc>
        <w:tc>
          <w:tcPr>
            <w:tcW w:w="1926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1.6249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733340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THRA</w:t>
            </w:r>
            <w:r w:rsidR="00767149" w:rsidRPr="00D13900">
              <w:rPr>
                <w:rFonts w:ascii="Times New Roman" w:hAnsi="Times New Roman" w:cs="Times New Roman"/>
              </w:rPr>
              <w:t xml:space="preserve"> (</w:t>
            </w:r>
            <w:r w:rsidR="00767149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NR1A1)</w:t>
            </w:r>
          </w:p>
        </w:tc>
        <w:tc>
          <w:tcPr>
            <w:tcW w:w="2070" w:type="dxa"/>
          </w:tcPr>
          <w:p w:rsidR="005A755E" w:rsidRPr="00D13900" w:rsidRDefault="00733340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2.0803</w:t>
            </w:r>
          </w:p>
        </w:tc>
        <w:tc>
          <w:tcPr>
            <w:tcW w:w="2250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1.059</w:t>
            </w:r>
            <w:r w:rsidR="00555EB9" w:rsidRPr="00D13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-1.6298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733340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VDR</w:t>
            </w:r>
            <w:r w:rsidR="00767149" w:rsidRPr="00D13900">
              <w:rPr>
                <w:rFonts w:ascii="Times New Roman" w:hAnsi="Times New Roman" w:cs="Times New Roman"/>
              </w:rPr>
              <w:t xml:space="preserve"> (</w:t>
            </w:r>
            <w:r w:rsidR="00767149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NR1I1)</w:t>
            </w:r>
          </w:p>
        </w:tc>
        <w:tc>
          <w:tcPr>
            <w:tcW w:w="2070" w:type="dxa"/>
          </w:tcPr>
          <w:p w:rsidR="005A755E" w:rsidRPr="00D13900" w:rsidRDefault="00733340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-3.1431</w:t>
            </w:r>
          </w:p>
        </w:tc>
        <w:tc>
          <w:tcPr>
            <w:tcW w:w="2250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1.8079</w:t>
            </w:r>
          </w:p>
        </w:tc>
        <w:tc>
          <w:tcPr>
            <w:tcW w:w="1926" w:type="dxa"/>
          </w:tcPr>
          <w:p w:rsidR="005A755E" w:rsidRPr="00D13900" w:rsidRDefault="006B1C36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-1.4369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E63C35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ESR1</w:t>
            </w:r>
            <w:r w:rsidR="00AE7E8B" w:rsidRPr="00D13900">
              <w:rPr>
                <w:rFonts w:ascii="Times New Roman" w:hAnsi="Times New Roman" w:cs="Times New Roman"/>
              </w:rPr>
              <w:t xml:space="preserve"> (</w:t>
            </w:r>
            <w:r w:rsidR="00AE7E8B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NR3A1)</w:t>
            </w:r>
          </w:p>
        </w:tc>
        <w:tc>
          <w:tcPr>
            <w:tcW w:w="207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1.9552</w:t>
            </w:r>
          </w:p>
        </w:tc>
        <w:tc>
          <w:tcPr>
            <w:tcW w:w="225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5.4083</w:t>
            </w:r>
          </w:p>
        </w:tc>
        <w:tc>
          <w:tcPr>
            <w:tcW w:w="1926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-1.3368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E63C35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PPARD</w:t>
            </w:r>
            <w:r w:rsidR="00AE7E8B" w:rsidRPr="00D13900">
              <w:rPr>
                <w:rFonts w:ascii="Times New Roman" w:hAnsi="Times New Roman" w:cs="Times New Roman"/>
              </w:rPr>
              <w:t xml:space="preserve"> (</w:t>
            </w:r>
            <w:r w:rsidR="00AE7E8B" w:rsidRPr="00D139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NR1C2)</w:t>
            </w:r>
          </w:p>
        </w:tc>
        <w:tc>
          <w:tcPr>
            <w:tcW w:w="207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-1.9395</w:t>
            </w:r>
          </w:p>
        </w:tc>
        <w:tc>
          <w:tcPr>
            <w:tcW w:w="225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-2.4002</w:t>
            </w:r>
          </w:p>
        </w:tc>
        <w:tc>
          <w:tcPr>
            <w:tcW w:w="1926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-1.4612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AE7E8B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COUP-TFII  (</w:t>
            </w:r>
            <w:r w:rsidR="00E63C35" w:rsidRPr="00D13900">
              <w:rPr>
                <w:rFonts w:ascii="Times New Roman" w:hAnsi="Times New Roman" w:cs="Times New Roman"/>
              </w:rPr>
              <w:t>NR2F2)</w:t>
            </w:r>
          </w:p>
        </w:tc>
        <w:tc>
          <w:tcPr>
            <w:tcW w:w="207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1.4372</w:t>
            </w:r>
          </w:p>
        </w:tc>
        <w:tc>
          <w:tcPr>
            <w:tcW w:w="225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-2.2786</w:t>
            </w:r>
          </w:p>
        </w:tc>
        <w:tc>
          <w:tcPr>
            <w:tcW w:w="1926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1.1711</w:t>
            </w:r>
          </w:p>
        </w:tc>
      </w:tr>
      <w:tr w:rsidR="005A755E" w:rsidRPr="00D13900" w:rsidTr="00D13900">
        <w:trPr>
          <w:trHeight w:val="216"/>
        </w:trPr>
        <w:tc>
          <w:tcPr>
            <w:tcW w:w="2250" w:type="dxa"/>
          </w:tcPr>
          <w:p w:rsidR="005A755E" w:rsidRPr="00D13900" w:rsidRDefault="00AE7E8B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MR (NR3C2</w:t>
            </w:r>
            <w:r w:rsidR="00E63C35" w:rsidRPr="00D13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-1.7504</w:t>
            </w:r>
          </w:p>
        </w:tc>
        <w:tc>
          <w:tcPr>
            <w:tcW w:w="2250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  <w:color w:val="FF0000"/>
              </w:rPr>
              <w:t>2.5814</w:t>
            </w:r>
          </w:p>
        </w:tc>
        <w:tc>
          <w:tcPr>
            <w:tcW w:w="1926" w:type="dxa"/>
          </w:tcPr>
          <w:p w:rsidR="005A755E" w:rsidRPr="00D13900" w:rsidRDefault="00E63C35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1.3846</w:t>
            </w:r>
          </w:p>
        </w:tc>
      </w:tr>
      <w:tr w:rsidR="003C5FF9" w:rsidRPr="00D13900" w:rsidTr="00D13900">
        <w:trPr>
          <w:trHeight w:val="216"/>
        </w:trPr>
        <w:tc>
          <w:tcPr>
            <w:tcW w:w="2250" w:type="dxa"/>
          </w:tcPr>
          <w:p w:rsidR="003C5FF9" w:rsidRPr="00D13900" w:rsidRDefault="00AE7E8B" w:rsidP="00D139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EAR1b (</w:t>
            </w:r>
            <w:r w:rsidR="003C5FF9" w:rsidRPr="00D13900">
              <w:rPr>
                <w:rFonts w:ascii="Times New Roman" w:hAnsi="Times New Roman" w:cs="Times New Roman"/>
              </w:rPr>
              <w:t>NR1D2)</w:t>
            </w:r>
          </w:p>
        </w:tc>
        <w:tc>
          <w:tcPr>
            <w:tcW w:w="2070" w:type="dxa"/>
          </w:tcPr>
          <w:p w:rsidR="003C5FF9" w:rsidRPr="00D13900" w:rsidRDefault="003C5FF9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-1.4312</w:t>
            </w:r>
          </w:p>
        </w:tc>
        <w:tc>
          <w:tcPr>
            <w:tcW w:w="2250" w:type="dxa"/>
          </w:tcPr>
          <w:p w:rsidR="003C5FF9" w:rsidRPr="00D13900" w:rsidRDefault="003C5FF9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</w:rPr>
              <w:t>-1.3698</w:t>
            </w:r>
          </w:p>
        </w:tc>
        <w:tc>
          <w:tcPr>
            <w:tcW w:w="1926" w:type="dxa"/>
          </w:tcPr>
          <w:p w:rsidR="003C5FF9" w:rsidRPr="00D13900" w:rsidRDefault="003C5FF9" w:rsidP="00D139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13900">
              <w:rPr>
                <w:rFonts w:ascii="Times New Roman" w:hAnsi="Times New Roman" w:cs="Times New Roman"/>
                <w:color w:val="0070C0"/>
              </w:rPr>
              <w:t>-2.1455</w:t>
            </w:r>
          </w:p>
        </w:tc>
      </w:tr>
      <w:tr w:rsidR="003C5FF9" w:rsidRPr="00D13900" w:rsidTr="00D13900">
        <w:tc>
          <w:tcPr>
            <w:tcW w:w="2250" w:type="dxa"/>
            <w:tcBorders>
              <w:bottom w:val="thickThinLargeGap" w:sz="24" w:space="0" w:color="auto"/>
            </w:tcBorders>
          </w:tcPr>
          <w:p w:rsidR="003C5FF9" w:rsidRPr="00D13900" w:rsidRDefault="003C5FF9" w:rsidP="003C5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thickThinLargeGap" w:sz="24" w:space="0" w:color="auto"/>
            </w:tcBorders>
          </w:tcPr>
          <w:p w:rsidR="003C5FF9" w:rsidRPr="00D13900" w:rsidRDefault="003C5FF9" w:rsidP="003C5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thickThinLargeGap" w:sz="24" w:space="0" w:color="auto"/>
            </w:tcBorders>
          </w:tcPr>
          <w:p w:rsidR="003C5FF9" w:rsidRPr="00D13900" w:rsidRDefault="003C5FF9" w:rsidP="003C5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bottom w:val="thickThinLargeGap" w:sz="24" w:space="0" w:color="auto"/>
            </w:tcBorders>
          </w:tcPr>
          <w:p w:rsidR="003C5FF9" w:rsidRPr="00D13900" w:rsidRDefault="003C5FF9" w:rsidP="003C5FF9">
            <w:pPr>
              <w:rPr>
                <w:rFonts w:ascii="Times New Roman" w:hAnsi="Times New Roman" w:cs="Times New Roman"/>
              </w:rPr>
            </w:pPr>
          </w:p>
        </w:tc>
      </w:tr>
    </w:tbl>
    <w:p w:rsidR="000011EE" w:rsidRPr="00D13900" w:rsidRDefault="000011EE" w:rsidP="000011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11EE" w:rsidRPr="00D13900" w:rsidRDefault="000011EE" w:rsidP="000011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900">
        <w:rPr>
          <w:rFonts w:ascii="Times New Roman" w:hAnsi="Times New Roman" w:cs="Times New Roman"/>
          <w:b/>
          <w:i/>
          <w:color w:val="FF0000"/>
          <w:sz w:val="16"/>
          <w:szCs w:val="16"/>
        </w:rPr>
        <w:t>R</w:t>
      </w:r>
      <w:r w:rsidR="00D13900">
        <w:rPr>
          <w:rFonts w:ascii="Times New Roman" w:hAnsi="Times New Roman" w:cs="Times New Roman"/>
          <w:b/>
          <w:i/>
          <w:color w:val="FF0000"/>
          <w:sz w:val="16"/>
          <w:szCs w:val="16"/>
        </w:rPr>
        <w:t>ED</w:t>
      </w:r>
      <w:r w:rsidRPr="00D13900">
        <w:rPr>
          <w:rFonts w:ascii="Times New Roman" w:hAnsi="Times New Roman" w:cs="Times New Roman"/>
          <w:sz w:val="16"/>
          <w:szCs w:val="16"/>
        </w:rPr>
        <w:t>= significant increase in expression levels, FC</w:t>
      </w:r>
    </w:p>
    <w:p w:rsidR="000011EE" w:rsidRPr="00D13900" w:rsidRDefault="000011EE" w:rsidP="000011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900">
        <w:rPr>
          <w:rFonts w:ascii="Times New Roman" w:hAnsi="Times New Roman" w:cs="Times New Roman"/>
          <w:b/>
          <w:i/>
          <w:color w:val="0070C0"/>
          <w:sz w:val="16"/>
          <w:szCs w:val="16"/>
        </w:rPr>
        <w:t>B</w:t>
      </w:r>
      <w:r w:rsidR="00D13900">
        <w:rPr>
          <w:rFonts w:ascii="Times New Roman" w:hAnsi="Times New Roman" w:cs="Times New Roman"/>
          <w:b/>
          <w:i/>
          <w:color w:val="0070C0"/>
          <w:sz w:val="16"/>
          <w:szCs w:val="16"/>
        </w:rPr>
        <w:t>LUE</w:t>
      </w:r>
      <w:r w:rsidRPr="00D13900">
        <w:rPr>
          <w:rFonts w:ascii="Times New Roman" w:hAnsi="Times New Roman" w:cs="Times New Roman"/>
          <w:sz w:val="16"/>
          <w:szCs w:val="16"/>
        </w:rPr>
        <w:t>= significant decrease in expression levels, FC</w:t>
      </w:r>
    </w:p>
    <w:p w:rsidR="000011EE" w:rsidRPr="00D13900" w:rsidRDefault="000011EE" w:rsidP="000011EE">
      <w:pPr>
        <w:rPr>
          <w:rFonts w:ascii="Times New Roman" w:hAnsi="Times New Roman" w:cs="Times New Roman"/>
          <w:sz w:val="16"/>
          <w:szCs w:val="16"/>
        </w:rPr>
      </w:pPr>
    </w:p>
    <w:p w:rsidR="00FB5F58" w:rsidRPr="00D13900" w:rsidRDefault="006553BA" w:rsidP="000011EE">
      <w:pPr>
        <w:rPr>
          <w:rFonts w:ascii="Times New Roman" w:hAnsi="Times New Roman" w:cs="Times New Roman"/>
        </w:rPr>
      </w:pPr>
    </w:p>
    <w:sectPr w:rsidR="00FB5F58" w:rsidRPr="00D13900" w:rsidSect="000F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2DA4"/>
    <w:rsid w:val="000011EE"/>
    <w:rsid w:val="00016DF0"/>
    <w:rsid w:val="0002233B"/>
    <w:rsid w:val="00033C59"/>
    <w:rsid w:val="00050063"/>
    <w:rsid w:val="000F1A9A"/>
    <w:rsid w:val="001428BE"/>
    <w:rsid w:val="001D3FB1"/>
    <w:rsid w:val="0030747E"/>
    <w:rsid w:val="00316CE5"/>
    <w:rsid w:val="003C5FF9"/>
    <w:rsid w:val="004248BD"/>
    <w:rsid w:val="00453A7D"/>
    <w:rsid w:val="005161B9"/>
    <w:rsid w:val="00555EB9"/>
    <w:rsid w:val="00575025"/>
    <w:rsid w:val="005A755E"/>
    <w:rsid w:val="006553BA"/>
    <w:rsid w:val="00677BFE"/>
    <w:rsid w:val="006B1C36"/>
    <w:rsid w:val="00733340"/>
    <w:rsid w:val="00767149"/>
    <w:rsid w:val="0078193D"/>
    <w:rsid w:val="007A13B4"/>
    <w:rsid w:val="00861989"/>
    <w:rsid w:val="008F6B2D"/>
    <w:rsid w:val="00910E69"/>
    <w:rsid w:val="00A27F4D"/>
    <w:rsid w:val="00AE7E8B"/>
    <w:rsid w:val="00B81475"/>
    <w:rsid w:val="00BA4CA7"/>
    <w:rsid w:val="00C5774D"/>
    <w:rsid w:val="00C62DA4"/>
    <w:rsid w:val="00CF5D58"/>
    <w:rsid w:val="00D13900"/>
    <w:rsid w:val="00D646F5"/>
    <w:rsid w:val="00D76F5D"/>
    <w:rsid w:val="00DC49DC"/>
    <w:rsid w:val="00E33B62"/>
    <w:rsid w:val="00E6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28BE"/>
  </w:style>
  <w:style w:type="paragraph" w:styleId="BalloonText">
    <w:name w:val="Balloon Text"/>
    <w:basedOn w:val="Normal"/>
    <w:link w:val="BalloonTextChar"/>
    <w:uiPriority w:val="99"/>
    <w:semiHidden/>
    <w:unhideWhenUsed/>
    <w:rsid w:val="00BA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28BE"/>
  </w:style>
  <w:style w:type="paragraph" w:styleId="BalloonText">
    <w:name w:val="Balloon Text"/>
    <w:basedOn w:val="Normal"/>
    <w:link w:val="BalloonTextChar"/>
    <w:uiPriority w:val="99"/>
    <w:semiHidden/>
    <w:unhideWhenUsed/>
    <w:rsid w:val="00BA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Cvoro, Aleksandra</dc:creator>
  <cp:lastModifiedBy>Aleksandra Cvoro</cp:lastModifiedBy>
  <cp:revision>2</cp:revision>
  <cp:lastPrinted>2015-08-19T18:19:00Z</cp:lastPrinted>
  <dcterms:created xsi:type="dcterms:W3CDTF">2016-09-29T00:40:00Z</dcterms:created>
  <dcterms:modified xsi:type="dcterms:W3CDTF">2016-09-29T00:40:00Z</dcterms:modified>
</cp:coreProperties>
</file>